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73AB" w14:textId="77777777" w:rsidR="00B23D27" w:rsidRDefault="00B23D27" w:rsidP="00F3573D">
      <w:pPr>
        <w:pStyle w:val="Heading1"/>
      </w:pPr>
      <w:bookmarkStart w:id="0" w:name="_Toc111469658"/>
      <w:r>
        <w:t>A needs a</w:t>
      </w:r>
      <w:r w:rsidRPr="00257118">
        <w:t>ssessment into special educational needs</w:t>
      </w:r>
      <w:r>
        <w:t xml:space="preserve"> and disability</w:t>
      </w:r>
      <w:r w:rsidRPr="00257118">
        <w:t xml:space="preserve"> in children and young people in York.</w:t>
      </w:r>
      <w:bookmarkEnd w:id="0"/>
    </w:p>
    <w:p w14:paraId="2AD840D0" w14:textId="77777777" w:rsidR="00B23D27" w:rsidRDefault="00B23D27" w:rsidP="00C76729">
      <w:pPr>
        <w:pStyle w:val="Subtitle"/>
      </w:pPr>
      <w:r>
        <w:t>Phase 2- Young people aged 16 and over.</w:t>
      </w:r>
    </w:p>
    <w:p w14:paraId="453B2F4C" w14:textId="77777777" w:rsidR="00B23D27" w:rsidRDefault="00B23D27" w:rsidP="00B23D27"/>
    <w:sdt>
      <w:sdtPr>
        <w:rPr>
          <w:rFonts w:asciiTheme="minorHAnsi" w:eastAsiaTheme="minorHAnsi" w:hAnsiTheme="minorHAnsi" w:cstheme="minorBidi"/>
          <w:color w:val="auto"/>
          <w:sz w:val="22"/>
          <w:szCs w:val="22"/>
          <w:lang w:val="en-GB"/>
        </w:rPr>
        <w:id w:val="629975214"/>
        <w:docPartObj>
          <w:docPartGallery w:val="Table of Contents"/>
          <w:docPartUnique/>
        </w:docPartObj>
      </w:sdtPr>
      <w:sdtEndPr>
        <w:rPr>
          <w:b/>
          <w:bCs/>
          <w:noProof/>
        </w:rPr>
      </w:sdtEndPr>
      <w:sdtContent>
        <w:p w14:paraId="31B56339" w14:textId="747176BE" w:rsidR="0062294F" w:rsidRDefault="0062294F">
          <w:pPr>
            <w:pStyle w:val="TOCHeading"/>
          </w:pPr>
          <w:r>
            <w:t>Contents</w:t>
          </w:r>
        </w:p>
        <w:p w14:paraId="65691CE1" w14:textId="6B042A08" w:rsidR="008650CC" w:rsidRDefault="0062294F">
          <w:pPr>
            <w:pStyle w:val="TOC1"/>
            <w:tabs>
              <w:tab w:val="right" w:leader="dot" w:pos="9016"/>
            </w:tabs>
            <w:rPr>
              <w:rFonts w:cstheme="minorBidi"/>
              <w:noProof/>
              <w:lang w:val="en-GB" w:eastAsia="en-GB"/>
            </w:rPr>
          </w:pPr>
          <w:r>
            <w:fldChar w:fldCharType="begin"/>
          </w:r>
          <w:r>
            <w:instrText xml:space="preserve"> TOC \o "1-3" \h \z \u </w:instrText>
          </w:r>
          <w:r>
            <w:fldChar w:fldCharType="separate"/>
          </w:r>
          <w:hyperlink w:anchor="_Toc111469658" w:history="1">
            <w:r w:rsidR="008650CC" w:rsidRPr="009939A1">
              <w:rPr>
                <w:rStyle w:val="Hyperlink"/>
                <w:noProof/>
              </w:rPr>
              <w:t>A needs assessment into special educational needs and disability in children and young people in York.</w:t>
            </w:r>
            <w:r w:rsidR="008650CC">
              <w:rPr>
                <w:noProof/>
                <w:webHidden/>
              </w:rPr>
              <w:tab/>
            </w:r>
            <w:r w:rsidR="008650CC">
              <w:rPr>
                <w:noProof/>
                <w:webHidden/>
              </w:rPr>
              <w:fldChar w:fldCharType="begin"/>
            </w:r>
            <w:r w:rsidR="008650CC">
              <w:rPr>
                <w:noProof/>
                <w:webHidden/>
              </w:rPr>
              <w:instrText xml:space="preserve"> PAGEREF _Toc111469658 \h </w:instrText>
            </w:r>
            <w:r w:rsidR="008650CC">
              <w:rPr>
                <w:noProof/>
                <w:webHidden/>
              </w:rPr>
            </w:r>
            <w:r w:rsidR="008650CC">
              <w:rPr>
                <w:noProof/>
                <w:webHidden/>
              </w:rPr>
              <w:fldChar w:fldCharType="separate"/>
            </w:r>
            <w:r w:rsidR="008650CC">
              <w:rPr>
                <w:noProof/>
                <w:webHidden/>
              </w:rPr>
              <w:t>1</w:t>
            </w:r>
            <w:r w:rsidR="008650CC">
              <w:rPr>
                <w:noProof/>
                <w:webHidden/>
              </w:rPr>
              <w:fldChar w:fldCharType="end"/>
            </w:r>
          </w:hyperlink>
        </w:p>
        <w:p w14:paraId="0C85D2C9" w14:textId="62087FA1" w:rsidR="008650CC" w:rsidRDefault="00D17F76">
          <w:pPr>
            <w:pStyle w:val="TOC1"/>
            <w:tabs>
              <w:tab w:val="right" w:leader="dot" w:pos="9016"/>
            </w:tabs>
            <w:rPr>
              <w:rFonts w:cstheme="minorBidi"/>
              <w:noProof/>
              <w:lang w:val="en-GB" w:eastAsia="en-GB"/>
            </w:rPr>
          </w:pPr>
          <w:hyperlink w:anchor="_Toc111469659" w:history="1">
            <w:r w:rsidR="008650CC" w:rsidRPr="009939A1">
              <w:rPr>
                <w:rStyle w:val="Hyperlink"/>
                <w:noProof/>
              </w:rPr>
              <w:t>Scope</w:t>
            </w:r>
            <w:r w:rsidR="008650CC">
              <w:rPr>
                <w:noProof/>
                <w:webHidden/>
              </w:rPr>
              <w:tab/>
            </w:r>
            <w:r w:rsidR="008650CC">
              <w:rPr>
                <w:noProof/>
                <w:webHidden/>
              </w:rPr>
              <w:fldChar w:fldCharType="begin"/>
            </w:r>
            <w:r w:rsidR="008650CC">
              <w:rPr>
                <w:noProof/>
                <w:webHidden/>
              </w:rPr>
              <w:instrText xml:space="preserve"> PAGEREF _Toc111469659 \h </w:instrText>
            </w:r>
            <w:r w:rsidR="008650CC">
              <w:rPr>
                <w:noProof/>
                <w:webHidden/>
              </w:rPr>
            </w:r>
            <w:r w:rsidR="008650CC">
              <w:rPr>
                <w:noProof/>
                <w:webHidden/>
              </w:rPr>
              <w:fldChar w:fldCharType="separate"/>
            </w:r>
            <w:r w:rsidR="008650CC">
              <w:rPr>
                <w:noProof/>
                <w:webHidden/>
              </w:rPr>
              <w:t>2</w:t>
            </w:r>
            <w:r w:rsidR="008650CC">
              <w:rPr>
                <w:noProof/>
                <w:webHidden/>
              </w:rPr>
              <w:fldChar w:fldCharType="end"/>
            </w:r>
          </w:hyperlink>
        </w:p>
        <w:p w14:paraId="04F423D8" w14:textId="4AB66C01" w:rsidR="008650CC" w:rsidRDefault="00D17F76">
          <w:pPr>
            <w:pStyle w:val="TOC1"/>
            <w:tabs>
              <w:tab w:val="right" w:leader="dot" w:pos="9016"/>
            </w:tabs>
            <w:rPr>
              <w:rFonts w:cstheme="minorBidi"/>
              <w:noProof/>
              <w:lang w:val="en-GB" w:eastAsia="en-GB"/>
            </w:rPr>
          </w:pPr>
          <w:hyperlink w:anchor="_Toc111469660" w:history="1">
            <w:r w:rsidR="008650CC" w:rsidRPr="009939A1">
              <w:rPr>
                <w:rStyle w:val="Hyperlink"/>
                <w:noProof/>
              </w:rPr>
              <w:t>Focus on 19+ cohort</w:t>
            </w:r>
            <w:r w:rsidR="008650CC">
              <w:rPr>
                <w:noProof/>
                <w:webHidden/>
              </w:rPr>
              <w:tab/>
            </w:r>
            <w:r w:rsidR="008650CC">
              <w:rPr>
                <w:noProof/>
                <w:webHidden/>
              </w:rPr>
              <w:fldChar w:fldCharType="begin"/>
            </w:r>
            <w:r w:rsidR="008650CC">
              <w:rPr>
                <w:noProof/>
                <w:webHidden/>
              </w:rPr>
              <w:instrText xml:space="preserve"> PAGEREF _Toc111469660 \h </w:instrText>
            </w:r>
            <w:r w:rsidR="008650CC">
              <w:rPr>
                <w:noProof/>
                <w:webHidden/>
              </w:rPr>
            </w:r>
            <w:r w:rsidR="008650CC">
              <w:rPr>
                <w:noProof/>
                <w:webHidden/>
              </w:rPr>
              <w:fldChar w:fldCharType="separate"/>
            </w:r>
            <w:r w:rsidR="008650CC">
              <w:rPr>
                <w:noProof/>
                <w:webHidden/>
              </w:rPr>
              <w:t>2</w:t>
            </w:r>
            <w:r w:rsidR="008650CC">
              <w:rPr>
                <w:noProof/>
                <w:webHidden/>
              </w:rPr>
              <w:fldChar w:fldCharType="end"/>
            </w:r>
          </w:hyperlink>
        </w:p>
        <w:p w14:paraId="250FB923" w14:textId="455F4425" w:rsidR="008650CC" w:rsidRDefault="00D17F76">
          <w:pPr>
            <w:pStyle w:val="TOC3"/>
            <w:tabs>
              <w:tab w:val="right" w:leader="dot" w:pos="9016"/>
            </w:tabs>
            <w:rPr>
              <w:rFonts w:cstheme="minorBidi"/>
              <w:noProof/>
              <w:lang w:val="en-GB" w:eastAsia="en-GB"/>
            </w:rPr>
          </w:pPr>
          <w:hyperlink w:anchor="_Toc111469661" w:history="1">
            <w:r w:rsidR="008650CC" w:rsidRPr="009939A1">
              <w:rPr>
                <w:rStyle w:val="Hyperlink"/>
                <w:noProof/>
              </w:rPr>
              <w:t>Need type</w:t>
            </w:r>
            <w:r w:rsidR="008650CC">
              <w:rPr>
                <w:noProof/>
                <w:webHidden/>
              </w:rPr>
              <w:tab/>
            </w:r>
            <w:r w:rsidR="008650CC">
              <w:rPr>
                <w:noProof/>
                <w:webHidden/>
              </w:rPr>
              <w:fldChar w:fldCharType="begin"/>
            </w:r>
            <w:r w:rsidR="008650CC">
              <w:rPr>
                <w:noProof/>
                <w:webHidden/>
              </w:rPr>
              <w:instrText xml:space="preserve"> PAGEREF _Toc111469661 \h </w:instrText>
            </w:r>
            <w:r w:rsidR="008650CC">
              <w:rPr>
                <w:noProof/>
                <w:webHidden/>
              </w:rPr>
            </w:r>
            <w:r w:rsidR="008650CC">
              <w:rPr>
                <w:noProof/>
                <w:webHidden/>
              </w:rPr>
              <w:fldChar w:fldCharType="separate"/>
            </w:r>
            <w:r w:rsidR="008650CC">
              <w:rPr>
                <w:noProof/>
                <w:webHidden/>
              </w:rPr>
              <w:t>2</w:t>
            </w:r>
            <w:r w:rsidR="008650CC">
              <w:rPr>
                <w:noProof/>
                <w:webHidden/>
              </w:rPr>
              <w:fldChar w:fldCharType="end"/>
            </w:r>
          </w:hyperlink>
        </w:p>
        <w:p w14:paraId="673E38DF" w14:textId="46F82B3F" w:rsidR="008650CC" w:rsidRDefault="00D17F76">
          <w:pPr>
            <w:pStyle w:val="TOC3"/>
            <w:tabs>
              <w:tab w:val="right" w:leader="dot" w:pos="9016"/>
            </w:tabs>
            <w:rPr>
              <w:rFonts w:cstheme="minorBidi"/>
              <w:noProof/>
              <w:lang w:val="en-GB" w:eastAsia="en-GB"/>
            </w:rPr>
          </w:pPr>
          <w:hyperlink w:anchor="_Toc111469662" w:history="1">
            <w:r w:rsidR="008650CC" w:rsidRPr="009939A1">
              <w:rPr>
                <w:rStyle w:val="Hyperlink"/>
                <w:noProof/>
              </w:rPr>
              <w:t>Gender, and age bands (19-25)</w:t>
            </w:r>
            <w:r w:rsidR="008650CC">
              <w:rPr>
                <w:noProof/>
                <w:webHidden/>
              </w:rPr>
              <w:tab/>
            </w:r>
            <w:r w:rsidR="008650CC">
              <w:rPr>
                <w:noProof/>
                <w:webHidden/>
              </w:rPr>
              <w:fldChar w:fldCharType="begin"/>
            </w:r>
            <w:r w:rsidR="008650CC">
              <w:rPr>
                <w:noProof/>
                <w:webHidden/>
              </w:rPr>
              <w:instrText xml:space="preserve"> PAGEREF _Toc111469662 \h </w:instrText>
            </w:r>
            <w:r w:rsidR="008650CC">
              <w:rPr>
                <w:noProof/>
                <w:webHidden/>
              </w:rPr>
            </w:r>
            <w:r w:rsidR="008650CC">
              <w:rPr>
                <w:noProof/>
                <w:webHidden/>
              </w:rPr>
              <w:fldChar w:fldCharType="separate"/>
            </w:r>
            <w:r w:rsidR="008650CC">
              <w:rPr>
                <w:noProof/>
                <w:webHidden/>
              </w:rPr>
              <w:t>3</w:t>
            </w:r>
            <w:r w:rsidR="008650CC">
              <w:rPr>
                <w:noProof/>
                <w:webHidden/>
              </w:rPr>
              <w:fldChar w:fldCharType="end"/>
            </w:r>
          </w:hyperlink>
        </w:p>
        <w:p w14:paraId="5918B5F3" w14:textId="3B5119B3" w:rsidR="008650CC" w:rsidRDefault="00D17F76">
          <w:pPr>
            <w:pStyle w:val="TOC3"/>
            <w:tabs>
              <w:tab w:val="right" w:leader="dot" w:pos="9016"/>
            </w:tabs>
            <w:rPr>
              <w:rFonts w:cstheme="minorBidi"/>
              <w:noProof/>
              <w:lang w:val="en-GB" w:eastAsia="en-GB"/>
            </w:rPr>
          </w:pPr>
          <w:hyperlink w:anchor="_Toc111469663" w:history="1">
            <w:r w:rsidR="008650CC" w:rsidRPr="009939A1">
              <w:rPr>
                <w:rStyle w:val="Hyperlink"/>
                <w:noProof/>
              </w:rPr>
              <w:t>Current provision type, funding types, work</w:t>
            </w:r>
            <w:r w:rsidR="008650CC">
              <w:rPr>
                <w:noProof/>
                <w:webHidden/>
              </w:rPr>
              <w:tab/>
            </w:r>
            <w:r w:rsidR="008650CC">
              <w:rPr>
                <w:noProof/>
                <w:webHidden/>
              </w:rPr>
              <w:fldChar w:fldCharType="begin"/>
            </w:r>
            <w:r w:rsidR="008650CC">
              <w:rPr>
                <w:noProof/>
                <w:webHidden/>
              </w:rPr>
              <w:instrText xml:space="preserve"> PAGEREF _Toc111469663 \h </w:instrText>
            </w:r>
            <w:r w:rsidR="008650CC">
              <w:rPr>
                <w:noProof/>
                <w:webHidden/>
              </w:rPr>
            </w:r>
            <w:r w:rsidR="008650CC">
              <w:rPr>
                <w:noProof/>
                <w:webHidden/>
              </w:rPr>
              <w:fldChar w:fldCharType="separate"/>
            </w:r>
            <w:r w:rsidR="008650CC">
              <w:rPr>
                <w:noProof/>
                <w:webHidden/>
              </w:rPr>
              <w:t>3</w:t>
            </w:r>
            <w:r w:rsidR="008650CC">
              <w:rPr>
                <w:noProof/>
                <w:webHidden/>
              </w:rPr>
              <w:fldChar w:fldCharType="end"/>
            </w:r>
          </w:hyperlink>
        </w:p>
        <w:p w14:paraId="24091D8C" w14:textId="63BDA126" w:rsidR="008650CC" w:rsidRDefault="00D17F76">
          <w:pPr>
            <w:pStyle w:val="TOC3"/>
            <w:tabs>
              <w:tab w:val="right" w:leader="dot" w:pos="9016"/>
            </w:tabs>
            <w:rPr>
              <w:rFonts w:cstheme="minorBidi"/>
              <w:noProof/>
              <w:lang w:val="en-GB" w:eastAsia="en-GB"/>
            </w:rPr>
          </w:pPr>
          <w:hyperlink w:anchor="_Toc111469664" w:history="1">
            <w:r w:rsidR="008650CC" w:rsidRPr="009939A1">
              <w:rPr>
                <w:rStyle w:val="Hyperlink"/>
                <w:noProof/>
              </w:rPr>
              <w:t>Not in Education, Employment or Training</w:t>
            </w:r>
            <w:r w:rsidR="008650CC">
              <w:rPr>
                <w:noProof/>
                <w:webHidden/>
              </w:rPr>
              <w:tab/>
            </w:r>
            <w:r w:rsidR="008650CC">
              <w:rPr>
                <w:noProof/>
                <w:webHidden/>
              </w:rPr>
              <w:fldChar w:fldCharType="begin"/>
            </w:r>
            <w:r w:rsidR="008650CC">
              <w:rPr>
                <w:noProof/>
                <w:webHidden/>
              </w:rPr>
              <w:instrText xml:space="preserve"> PAGEREF _Toc111469664 \h </w:instrText>
            </w:r>
            <w:r w:rsidR="008650CC">
              <w:rPr>
                <w:noProof/>
                <w:webHidden/>
              </w:rPr>
            </w:r>
            <w:r w:rsidR="008650CC">
              <w:rPr>
                <w:noProof/>
                <w:webHidden/>
              </w:rPr>
              <w:fldChar w:fldCharType="separate"/>
            </w:r>
            <w:r w:rsidR="008650CC">
              <w:rPr>
                <w:noProof/>
                <w:webHidden/>
              </w:rPr>
              <w:t>4</w:t>
            </w:r>
            <w:r w:rsidR="008650CC">
              <w:rPr>
                <w:noProof/>
                <w:webHidden/>
              </w:rPr>
              <w:fldChar w:fldCharType="end"/>
            </w:r>
          </w:hyperlink>
        </w:p>
        <w:p w14:paraId="0CBF376A" w14:textId="4DC23C06" w:rsidR="008650CC" w:rsidRDefault="00D17F76">
          <w:pPr>
            <w:pStyle w:val="TOC3"/>
            <w:tabs>
              <w:tab w:val="right" w:leader="dot" w:pos="9016"/>
            </w:tabs>
            <w:rPr>
              <w:rFonts w:cstheme="minorBidi"/>
              <w:noProof/>
              <w:lang w:val="en-GB" w:eastAsia="en-GB"/>
            </w:rPr>
          </w:pPr>
          <w:hyperlink w:anchor="_Toc111469665" w:history="1">
            <w:r w:rsidR="008650CC" w:rsidRPr="009939A1">
              <w:rPr>
                <w:rStyle w:val="Hyperlink"/>
                <w:noProof/>
              </w:rPr>
              <w:t>Attainment 8</w:t>
            </w:r>
            <w:r w:rsidR="008650CC">
              <w:rPr>
                <w:noProof/>
                <w:webHidden/>
              </w:rPr>
              <w:tab/>
            </w:r>
            <w:r w:rsidR="008650CC">
              <w:rPr>
                <w:noProof/>
                <w:webHidden/>
              </w:rPr>
              <w:fldChar w:fldCharType="begin"/>
            </w:r>
            <w:r w:rsidR="008650CC">
              <w:rPr>
                <w:noProof/>
                <w:webHidden/>
              </w:rPr>
              <w:instrText xml:space="preserve"> PAGEREF _Toc111469665 \h </w:instrText>
            </w:r>
            <w:r w:rsidR="008650CC">
              <w:rPr>
                <w:noProof/>
                <w:webHidden/>
              </w:rPr>
            </w:r>
            <w:r w:rsidR="008650CC">
              <w:rPr>
                <w:noProof/>
                <w:webHidden/>
              </w:rPr>
              <w:fldChar w:fldCharType="separate"/>
            </w:r>
            <w:r w:rsidR="008650CC">
              <w:rPr>
                <w:noProof/>
                <w:webHidden/>
              </w:rPr>
              <w:t>5</w:t>
            </w:r>
            <w:r w:rsidR="008650CC">
              <w:rPr>
                <w:noProof/>
                <w:webHidden/>
              </w:rPr>
              <w:fldChar w:fldCharType="end"/>
            </w:r>
          </w:hyperlink>
        </w:p>
        <w:p w14:paraId="1EBD8FC9" w14:textId="3C975D79" w:rsidR="008650CC" w:rsidRDefault="00D17F76">
          <w:pPr>
            <w:pStyle w:val="TOC1"/>
            <w:tabs>
              <w:tab w:val="right" w:leader="dot" w:pos="9016"/>
            </w:tabs>
            <w:rPr>
              <w:rFonts w:cstheme="minorBidi"/>
              <w:noProof/>
              <w:lang w:val="en-GB" w:eastAsia="en-GB"/>
            </w:rPr>
          </w:pPr>
          <w:hyperlink w:anchor="_Toc111469666" w:history="1">
            <w:r w:rsidR="008650CC" w:rsidRPr="009939A1">
              <w:rPr>
                <w:rStyle w:val="Hyperlink"/>
                <w:noProof/>
              </w:rPr>
              <w:t>Pathways and Timeliness</w:t>
            </w:r>
            <w:r w:rsidR="008650CC">
              <w:rPr>
                <w:noProof/>
                <w:webHidden/>
              </w:rPr>
              <w:tab/>
            </w:r>
            <w:r w:rsidR="008650CC">
              <w:rPr>
                <w:noProof/>
                <w:webHidden/>
              </w:rPr>
              <w:fldChar w:fldCharType="begin"/>
            </w:r>
            <w:r w:rsidR="008650CC">
              <w:rPr>
                <w:noProof/>
                <w:webHidden/>
              </w:rPr>
              <w:instrText xml:space="preserve"> PAGEREF _Toc111469666 \h </w:instrText>
            </w:r>
            <w:r w:rsidR="008650CC">
              <w:rPr>
                <w:noProof/>
                <w:webHidden/>
              </w:rPr>
            </w:r>
            <w:r w:rsidR="008650CC">
              <w:rPr>
                <w:noProof/>
                <w:webHidden/>
              </w:rPr>
              <w:fldChar w:fldCharType="separate"/>
            </w:r>
            <w:r w:rsidR="008650CC">
              <w:rPr>
                <w:noProof/>
                <w:webHidden/>
              </w:rPr>
              <w:t>6</w:t>
            </w:r>
            <w:r w:rsidR="008650CC">
              <w:rPr>
                <w:noProof/>
                <w:webHidden/>
              </w:rPr>
              <w:fldChar w:fldCharType="end"/>
            </w:r>
          </w:hyperlink>
        </w:p>
        <w:p w14:paraId="6941E749" w14:textId="6A9204C5" w:rsidR="008650CC" w:rsidRDefault="00D17F76">
          <w:pPr>
            <w:pStyle w:val="TOC3"/>
            <w:tabs>
              <w:tab w:val="right" w:leader="dot" w:pos="9016"/>
            </w:tabs>
            <w:rPr>
              <w:rFonts w:cstheme="minorBidi"/>
              <w:noProof/>
              <w:lang w:val="en-GB" w:eastAsia="en-GB"/>
            </w:rPr>
          </w:pPr>
          <w:hyperlink w:anchor="_Toc111469667" w:history="1">
            <w:r w:rsidR="008650CC" w:rsidRPr="009939A1">
              <w:rPr>
                <w:rStyle w:val="Hyperlink"/>
                <w:noProof/>
              </w:rPr>
              <w:t>Age of first EHCP by need type</w:t>
            </w:r>
            <w:r w:rsidR="008650CC">
              <w:rPr>
                <w:noProof/>
                <w:webHidden/>
              </w:rPr>
              <w:tab/>
            </w:r>
            <w:r w:rsidR="008650CC">
              <w:rPr>
                <w:noProof/>
                <w:webHidden/>
              </w:rPr>
              <w:fldChar w:fldCharType="begin"/>
            </w:r>
            <w:r w:rsidR="008650CC">
              <w:rPr>
                <w:noProof/>
                <w:webHidden/>
              </w:rPr>
              <w:instrText xml:space="preserve"> PAGEREF _Toc111469667 \h </w:instrText>
            </w:r>
            <w:r w:rsidR="008650CC">
              <w:rPr>
                <w:noProof/>
                <w:webHidden/>
              </w:rPr>
            </w:r>
            <w:r w:rsidR="008650CC">
              <w:rPr>
                <w:noProof/>
                <w:webHidden/>
              </w:rPr>
              <w:fldChar w:fldCharType="separate"/>
            </w:r>
            <w:r w:rsidR="008650CC">
              <w:rPr>
                <w:noProof/>
                <w:webHidden/>
              </w:rPr>
              <w:t>6</w:t>
            </w:r>
            <w:r w:rsidR="008650CC">
              <w:rPr>
                <w:noProof/>
                <w:webHidden/>
              </w:rPr>
              <w:fldChar w:fldCharType="end"/>
            </w:r>
          </w:hyperlink>
        </w:p>
        <w:p w14:paraId="2052D07C" w14:textId="4298AC57" w:rsidR="008650CC" w:rsidRDefault="00D17F76">
          <w:pPr>
            <w:pStyle w:val="TOC3"/>
            <w:tabs>
              <w:tab w:val="right" w:leader="dot" w:pos="9016"/>
            </w:tabs>
            <w:rPr>
              <w:rFonts w:cstheme="minorBidi"/>
              <w:noProof/>
              <w:lang w:val="en-GB" w:eastAsia="en-GB"/>
            </w:rPr>
          </w:pPr>
          <w:hyperlink w:anchor="_Toc111469668" w:history="1">
            <w:r w:rsidR="008650CC" w:rsidRPr="009939A1">
              <w:rPr>
                <w:rStyle w:val="Hyperlink"/>
                <w:rFonts w:cstheme="majorHAnsi"/>
                <w:noProof/>
              </w:rPr>
              <w:t>Trends in closed EHCP each year</w:t>
            </w:r>
            <w:r w:rsidR="008650CC">
              <w:rPr>
                <w:noProof/>
                <w:webHidden/>
              </w:rPr>
              <w:tab/>
            </w:r>
            <w:r w:rsidR="008650CC">
              <w:rPr>
                <w:noProof/>
                <w:webHidden/>
              </w:rPr>
              <w:fldChar w:fldCharType="begin"/>
            </w:r>
            <w:r w:rsidR="008650CC">
              <w:rPr>
                <w:noProof/>
                <w:webHidden/>
              </w:rPr>
              <w:instrText xml:space="preserve"> PAGEREF _Toc111469668 \h </w:instrText>
            </w:r>
            <w:r w:rsidR="008650CC">
              <w:rPr>
                <w:noProof/>
                <w:webHidden/>
              </w:rPr>
            </w:r>
            <w:r w:rsidR="008650CC">
              <w:rPr>
                <w:noProof/>
                <w:webHidden/>
              </w:rPr>
              <w:fldChar w:fldCharType="separate"/>
            </w:r>
            <w:r w:rsidR="008650CC">
              <w:rPr>
                <w:noProof/>
                <w:webHidden/>
              </w:rPr>
              <w:t>7</w:t>
            </w:r>
            <w:r w:rsidR="008650CC">
              <w:rPr>
                <w:noProof/>
                <w:webHidden/>
              </w:rPr>
              <w:fldChar w:fldCharType="end"/>
            </w:r>
          </w:hyperlink>
        </w:p>
        <w:p w14:paraId="2414ED48" w14:textId="2D793563" w:rsidR="008650CC" w:rsidRDefault="00D17F76">
          <w:pPr>
            <w:pStyle w:val="TOC1"/>
            <w:tabs>
              <w:tab w:val="right" w:leader="dot" w:pos="9016"/>
            </w:tabs>
            <w:rPr>
              <w:rFonts w:cstheme="minorBidi"/>
              <w:noProof/>
              <w:lang w:val="en-GB" w:eastAsia="en-GB"/>
            </w:rPr>
          </w:pPr>
          <w:hyperlink w:anchor="_Toc111469669" w:history="1">
            <w:r w:rsidR="008650CC" w:rsidRPr="009939A1">
              <w:rPr>
                <w:rStyle w:val="Hyperlink"/>
                <w:noProof/>
              </w:rPr>
              <w:t>Inclusive City</w:t>
            </w:r>
            <w:r w:rsidR="008650CC">
              <w:rPr>
                <w:noProof/>
                <w:webHidden/>
              </w:rPr>
              <w:tab/>
            </w:r>
            <w:r w:rsidR="008650CC">
              <w:rPr>
                <w:noProof/>
                <w:webHidden/>
              </w:rPr>
              <w:fldChar w:fldCharType="begin"/>
            </w:r>
            <w:r w:rsidR="008650CC">
              <w:rPr>
                <w:noProof/>
                <w:webHidden/>
              </w:rPr>
              <w:instrText xml:space="preserve"> PAGEREF _Toc111469669 \h </w:instrText>
            </w:r>
            <w:r w:rsidR="008650CC">
              <w:rPr>
                <w:noProof/>
                <w:webHidden/>
              </w:rPr>
            </w:r>
            <w:r w:rsidR="008650CC">
              <w:rPr>
                <w:noProof/>
                <w:webHidden/>
              </w:rPr>
              <w:fldChar w:fldCharType="separate"/>
            </w:r>
            <w:r w:rsidR="008650CC">
              <w:rPr>
                <w:noProof/>
                <w:webHidden/>
              </w:rPr>
              <w:t>7</w:t>
            </w:r>
            <w:r w:rsidR="008650CC">
              <w:rPr>
                <w:noProof/>
                <w:webHidden/>
              </w:rPr>
              <w:fldChar w:fldCharType="end"/>
            </w:r>
          </w:hyperlink>
        </w:p>
        <w:p w14:paraId="51DF9A87" w14:textId="522E8F8D" w:rsidR="008650CC" w:rsidRDefault="00D17F76">
          <w:pPr>
            <w:pStyle w:val="TOC1"/>
            <w:tabs>
              <w:tab w:val="right" w:leader="dot" w:pos="9016"/>
            </w:tabs>
            <w:rPr>
              <w:rFonts w:cstheme="minorBidi"/>
              <w:noProof/>
              <w:lang w:val="en-GB" w:eastAsia="en-GB"/>
            </w:rPr>
          </w:pPr>
          <w:hyperlink w:anchor="_Toc111469670" w:history="1">
            <w:r w:rsidR="008650CC" w:rsidRPr="009939A1">
              <w:rPr>
                <w:rStyle w:val="Hyperlink"/>
                <w:noProof/>
              </w:rPr>
              <w:t>Health overlap and education need overlap</w:t>
            </w:r>
            <w:r w:rsidR="008650CC">
              <w:rPr>
                <w:noProof/>
                <w:webHidden/>
              </w:rPr>
              <w:tab/>
            </w:r>
            <w:r w:rsidR="008650CC">
              <w:rPr>
                <w:noProof/>
                <w:webHidden/>
              </w:rPr>
              <w:fldChar w:fldCharType="begin"/>
            </w:r>
            <w:r w:rsidR="008650CC">
              <w:rPr>
                <w:noProof/>
                <w:webHidden/>
              </w:rPr>
              <w:instrText xml:space="preserve"> PAGEREF _Toc111469670 \h </w:instrText>
            </w:r>
            <w:r w:rsidR="008650CC">
              <w:rPr>
                <w:noProof/>
                <w:webHidden/>
              </w:rPr>
            </w:r>
            <w:r w:rsidR="008650CC">
              <w:rPr>
                <w:noProof/>
                <w:webHidden/>
              </w:rPr>
              <w:fldChar w:fldCharType="separate"/>
            </w:r>
            <w:r w:rsidR="008650CC">
              <w:rPr>
                <w:noProof/>
                <w:webHidden/>
              </w:rPr>
              <w:t>8</w:t>
            </w:r>
            <w:r w:rsidR="008650CC">
              <w:rPr>
                <w:noProof/>
                <w:webHidden/>
              </w:rPr>
              <w:fldChar w:fldCharType="end"/>
            </w:r>
          </w:hyperlink>
        </w:p>
        <w:p w14:paraId="0A380FCD" w14:textId="1D3BC418" w:rsidR="008650CC" w:rsidRDefault="00D17F76">
          <w:pPr>
            <w:pStyle w:val="TOC3"/>
            <w:tabs>
              <w:tab w:val="right" w:leader="dot" w:pos="9016"/>
            </w:tabs>
            <w:rPr>
              <w:rFonts w:cstheme="minorBidi"/>
              <w:noProof/>
              <w:lang w:val="en-GB" w:eastAsia="en-GB"/>
            </w:rPr>
          </w:pPr>
          <w:hyperlink w:anchor="_Toc111469671" w:history="1">
            <w:r w:rsidR="008650CC" w:rsidRPr="009939A1">
              <w:rPr>
                <w:rStyle w:val="Hyperlink"/>
                <w:noProof/>
              </w:rPr>
              <w:t>National prevalence of disability and long-term conditions in childhood</w:t>
            </w:r>
            <w:r w:rsidR="008650CC">
              <w:rPr>
                <w:noProof/>
                <w:webHidden/>
              </w:rPr>
              <w:tab/>
            </w:r>
            <w:r w:rsidR="008650CC">
              <w:rPr>
                <w:noProof/>
                <w:webHidden/>
              </w:rPr>
              <w:fldChar w:fldCharType="begin"/>
            </w:r>
            <w:r w:rsidR="008650CC">
              <w:rPr>
                <w:noProof/>
                <w:webHidden/>
              </w:rPr>
              <w:instrText xml:space="preserve"> PAGEREF _Toc111469671 \h </w:instrText>
            </w:r>
            <w:r w:rsidR="008650CC">
              <w:rPr>
                <w:noProof/>
                <w:webHidden/>
              </w:rPr>
            </w:r>
            <w:r w:rsidR="008650CC">
              <w:rPr>
                <w:noProof/>
                <w:webHidden/>
              </w:rPr>
              <w:fldChar w:fldCharType="separate"/>
            </w:r>
            <w:r w:rsidR="008650CC">
              <w:rPr>
                <w:noProof/>
                <w:webHidden/>
              </w:rPr>
              <w:t>8</w:t>
            </w:r>
            <w:r w:rsidR="008650CC">
              <w:rPr>
                <w:noProof/>
                <w:webHidden/>
              </w:rPr>
              <w:fldChar w:fldCharType="end"/>
            </w:r>
          </w:hyperlink>
        </w:p>
        <w:p w14:paraId="23C2EE63" w14:textId="292D4ED9" w:rsidR="008650CC" w:rsidRDefault="00D17F76">
          <w:pPr>
            <w:pStyle w:val="TOC3"/>
            <w:tabs>
              <w:tab w:val="right" w:leader="dot" w:pos="9016"/>
            </w:tabs>
            <w:rPr>
              <w:rFonts w:cstheme="minorBidi"/>
              <w:noProof/>
              <w:lang w:val="en-GB" w:eastAsia="en-GB"/>
            </w:rPr>
          </w:pPr>
          <w:hyperlink w:anchor="_Toc111469672" w:history="1">
            <w:r w:rsidR="008650CC" w:rsidRPr="009939A1">
              <w:rPr>
                <w:rStyle w:val="Hyperlink"/>
                <w:noProof/>
              </w:rPr>
              <w:t>All CYP - Prevalence of health need by age groups – most common conditions</w:t>
            </w:r>
            <w:r w:rsidR="008650CC">
              <w:rPr>
                <w:noProof/>
                <w:webHidden/>
              </w:rPr>
              <w:tab/>
            </w:r>
            <w:r w:rsidR="008650CC">
              <w:rPr>
                <w:noProof/>
                <w:webHidden/>
              </w:rPr>
              <w:fldChar w:fldCharType="begin"/>
            </w:r>
            <w:r w:rsidR="008650CC">
              <w:rPr>
                <w:noProof/>
                <w:webHidden/>
              </w:rPr>
              <w:instrText xml:space="preserve"> PAGEREF _Toc111469672 \h </w:instrText>
            </w:r>
            <w:r w:rsidR="008650CC">
              <w:rPr>
                <w:noProof/>
                <w:webHidden/>
              </w:rPr>
            </w:r>
            <w:r w:rsidR="008650CC">
              <w:rPr>
                <w:noProof/>
                <w:webHidden/>
              </w:rPr>
              <w:fldChar w:fldCharType="separate"/>
            </w:r>
            <w:r w:rsidR="008650CC">
              <w:rPr>
                <w:noProof/>
                <w:webHidden/>
              </w:rPr>
              <w:t>8</w:t>
            </w:r>
            <w:r w:rsidR="008650CC">
              <w:rPr>
                <w:noProof/>
                <w:webHidden/>
              </w:rPr>
              <w:fldChar w:fldCharType="end"/>
            </w:r>
          </w:hyperlink>
        </w:p>
        <w:p w14:paraId="08400750" w14:textId="68B01269" w:rsidR="008650CC" w:rsidRDefault="00D17F76">
          <w:pPr>
            <w:pStyle w:val="TOC3"/>
            <w:tabs>
              <w:tab w:val="right" w:leader="dot" w:pos="9016"/>
            </w:tabs>
            <w:rPr>
              <w:rFonts w:cstheme="minorBidi"/>
              <w:noProof/>
              <w:lang w:val="en-GB" w:eastAsia="en-GB"/>
            </w:rPr>
          </w:pPr>
          <w:hyperlink w:anchor="_Toc111469673" w:history="1">
            <w:r w:rsidR="008650CC" w:rsidRPr="009939A1">
              <w:rPr>
                <w:rStyle w:val="Hyperlink"/>
                <w:rFonts w:cstheme="majorHAnsi"/>
                <w:noProof/>
              </w:rPr>
              <w:t>All CYP - Self-reported health and self-reported daily limitation</w:t>
            </w:r>
            <w:r w:rsidR="008650CC">
              <w:rPr>
                <w:noProof/>
                <w:webHidden/>
              </w:rPr>
              <w:tab/>
            </w:r>
            <w:r w:rsidR="008650CC">
              <w:rPr>
                <w:noProof/>
                <w:webHidden/>
              </w:rPr>
              <w:fldChar w:fldCharType="begin"/>
            </w:r>
            <w:r w:rsidR="008650CC">
              <w:rPr>
                <w:noProof/>
                <w:webHidden/>
              </w:rPr>
              <w:instrText xml:space="preserve"> PAGEREF _Toc111469673 \h </w:instrText>
            </w:r>
            <w:r w:rsidR="008650CC">
              <w:rPr>
                <w:noProof/>
                <w:webHidden/>
              </w:rPr>
            </w:r>
            <w:r w:rsidR="008650CC">
              <w:rPr>
                <w:noProof/>
                <w:webHidden/>
              </w:rPr>
              <w:fldChar w:fldCharType="separate"/>
            </w:r>
            <w:r w:rsidR="008650CC">
              <w:rPr>
                <w:noProof/>
                <w:webHidden/>
              </w:rPr>
              <w:t>9</w:t>
            </w:r>
            <w:r w:rsidR="008650CC">
              <w:rPr>
                <w:noProof/>
                <w:webHidden/>
              </w:rPr>
              <w:fldChar w:fldCharType="end"/>
            </w:r>
          </w:hyperlink>
        </w:p>
        <w:p w14:paraId="1B653625" w14:textId="205E4596" w:rsidR="008650CC" w:rsidRDefault="00D17F76">
          <w:pPr>
            <w:pStyle w:val="TOC1"/>
            <w:tabs>
              <w:tab w:val="right" w:leader="dot" w:pos="9016"/>
            </w:tabs>
            <w:rPr>
              <w:rFonts w:cstheme="minorBidi"/>
              <w:noProof/>
              <w:lang w:val="en-GB" w:eastAsia="en-GB"/>
            </w:rPr>
          </w:pPr>
          <w:hyperlink w:anchor="_Toc111469674" w:history="1">
            <w:r w:rsidR="008650CC" w:rsidRPr="009939A1">
              <w:rPr>
                <w:rStyle w:val="Hyperlink"/>
                <w:noProof/>
              </w:rPr>
              <w:t>Social care and educational need overlap</w:t>
            </w:r>
            <w:r w:rsidR="008650CC">
              <w:rPr>
                <w:noProof/>
                <w:webHidden/>
              </w:rPr>
              <w:tab/>
            </w:r>
            <w:r w:rsidR="008650CC">
              <w:rPr>
                <w:noProof/>
                <w:webHidden/>
              </w:rPr>
              <w:fldChar w:fldCharType="begin"/>
            </w:r>
            <w:r w:rsidR="008650CC">
              <w:rPr>
                <w:noProof/>
                <w:webHidden/>
              </w:rPr>
              <w:instrText xml:space="preserve"> PAGEREF _Toc111469674 \h </w:instrText>
            </w:r>
            <w:r w:rsidR="008650CC">
              <w:rPr>
                <w:noProof/>
                <w:webHidden/>
              </w:rPr>
            </w:r>
            <w:r w:rsidR="008650CC">
              <w:rPr>
                <w:noProof/>
                <w:webHidden/>
              </w:rPr>
              <w:fldChar w:fldCharType="separate"/>
            </w:r>
            <w:r w:rsidR="008650CC">
              <w:rPr>
                <w:noProof/>
                <w:webHidden/>
              </w:rPr>
              <w:t>10</w:t>
            </w:r>
            <w:r w:rsidR="008650CC">
              <w:rPr>
                <w:noProof/>
                <w:webHidden/>
              </w:rPr>
              <w:fldChar w:fldCharType="end"/>
            </w:r>
          </w:hyperlink>
        </w:p>
        <w:p w14:paraId="14DAF81E" w14:textId="4116AC48" w:rsidR="008650CC" w:rsidRDefault="00D17F76">
          <w:pPr>
            <w:pStyle w:val="TOC3"/>
            <w:tabs>
              <w:tab w:val="right" w:leader="dot" w:pos="9016"/>
            </w:tabs>
            <w:rPr>
              <w:rFonts w:cstheme="minorBidi"/>
              <w:noProof/>
              <w:lang w:val="en-GB" w:eastAsia="en-GB"/>
            </w:rPr>
          </w:pPr>
          <w:hyperlink w:anchor="_Toc111469675" w:history="1">
            <w:r w:rsidR="008650CC" w:rsidRPr="009939A1">
              <w:rPr>
                <w:rStyle w:val="Hyperlink"/>
                <w:noProof/>
              </w:rPr>
              <w:t>Number of child protection plans with and without EHCP</w:t>
            </w:r>
            <w:r w:rsidR="008650CC">
              <w:rPr>
                <w:noProof/>
                <w:webHidden/>
              </w:rPr>
              <w:tab/>
            </w:r>
            <w:r w:rsidR="008650CC">
              <w:rPr>
                <w:noProof/>
                <w:webHidden/>
              </w:rPr>
              <w:fldChar w:fldCharType="begin"/>
            </w:r>
            <w:r w:rsidR="008650CC">
              <w:rPr>
                <w:noProof/>
                <w:webHidden/>
              </w:rPr>
              <w:instrText xml:space="preserve"> PAGEREF _Toc111469675 \h </w:instrText>
            </w:r>
            <w:r w:rsidR="008650CC">
              <w:rPr>
                <w:noProof/>
                <w:webHidden/>
              </w:rPr>
            </w:r>
            <w:r w:rsidR="008650CC">
              <w:rPr>
                <w:noProof/>
                <w:webHidden/>
              </w:rPr>
              <w:fldChar w:fldCharType="separate"/>
            </w:r>
            <w:r w:rsidR="008650CC">
              <w:rPr>
                <w:noProof/>
                <w:webHidden/>
              </w:rPr>
              <w:t>10</w:t>
            </w:r>
            <w:r w:rsidR="008650CC">
              <w:rPr>
                <w:noProof/>
                <w:webHidden/>
              </w:rPr>
              <w:fldChar w:fldCharType="end"/>
            </w:r>
          </w:hyperlink>
        </w:p>
        <w:p w14:paraId="2F6D6619" w14:textId="106AFE2B" w:rsidR="008650CC" w:rsidRDefault="00D17F76">
          <w:pPr>
            <w:pStyle w:val="TOC3"/>
            <w:tabs>
              <w:tab w:val="right" w:leader="dot" w:pos="9016"/>
            </w:tabs>
            <w:rPr>
              <w:rFonts w:cstheme="minorBidi"/>
              <w:noProof/>
              <w:lang w:val="en-GB" w:eastAsia="en-GB"/>
            </w:rPr>
          </w:pPr>
          <w:hyperlink w:anchor="_Toc111469676" w:history="1">
            <w:r w:rsidR="008650CC" w:rsidRPr="009939A1">
              <w:rPr>
                <w:rStyle w:val="Hyperlink"/>
                <w:noProof/>
              </w:rPr>
              <w:t>Number of looked after children w/ and w/o EHCP</w:t>
            </w:r>
            <w:r w:rsidR="008650CC">
              <w:rPr>
                <w:noProof/>
                <w:webHidden/>
              </w:rPr>
              <w:tab/>
            </w:r>
            <w:r w:rsidR="008650CC">
              <w:rPr>
                <w:noProof/>
                <w:webHidden/>
              </w:rPr>
              <w:fldChar w:fldCharType="begin"/>
            </w:r>
            <w:r w:rsidR="008650CC">
              <w:rPr>
                <w:noProof/>
                <w:webHidden/>
              </w:rPr>
              <w:instrText xml:space="preserve"> PAGEREF _Toc111469676 \h </w:instrText>
            </w:r>
            <w:r w:rsidR="008650CC">
              <w:rPr>
                <w:noProof/>
                <w:webHidden/>
              </w:rPr>
            </w:r>
            <w:r w:rsidR="008650CC">
              <w:rPr>
                <w:noProof/>
                <w:webHidden/>
              </w:rPr>
              <w:fldChar w:fldCharType="separate"/>
            </w:r>
            <w:r w:rsidR="008650CC">
              <w:rPr>
                <w:noProof/>
                <w:webHidden/>
              </w:rPr>
              <w:t>10</w:t>
            </w:r>
            <w:r w:rsidR="008650CC">
              <w:rPr>
                <w:noProof/>
                <w:webHidden/>
              </w:rPr>
              <w:fldChar w:fldCharType="end"/>
            </w:r>
          </w:hyperlink>
        </w:p>
        <w:p w14:paraId="12F2A6B3" w14:textId="51B5942E" w:rsidR="008650CC" w:rsidRDefault="00D17F76">
          <w:pPr>
            <w:pStyle w:val="TOC3"/>
            <w:tabs>
              <w:tab w:val="right" w:leader="dot" w:pos="9016"/>
            </w:tabs>
            <w:rPr>
              <w:rFonts w:cstheme="minorBidi"/>
              <w:noProof/>
              <w:lang w:val="en-GB" w:eastAsia="en-GB"/>
            </w:rPr>
          </w:pPr>
          <w:hyperlink w:anchor="_Toc111469677" w:history="1">
            <w:r w:rsidR="008650CC" w:rsidRPr="009939A1">
              <w:rPr>
                <w:rStyle w:val="Hyperlink"/>
                <w:noProof/>
              </w:rPr>
              <w:t>Number of children in need with and without EHCP</w:t>
            </w:r>
            <w:r w:rsidR="008650CC">
              <w:rPr>
                <w:noProof/>
                <w:webHidden/>
              </w:rPr>
              <w:tab/>
            </w:r>
            <w:r w:rsidR="008650CC">
              <w:rPr>
                <w:noProof/>
                <w:webHidden/>
              </w:rPr>
              <w:fldChar w:fldCharType="begin"/>
            </w:r>
            <w:r w:rsidR="008650CC">
              <w:rPr>
                <w:noProof/>
                <w:webHidden/>
              </w:rPr>
              <w:instrText xml:space="preserve"> PAGEREF _Toc111469677 \h </w:instrText>
            </w:r>
            <w:r w:rsidR="008650CC">
              <w:rPr>
                <w:noProof/>
                <w:webHidden/>
              </w:rPr>
            </w:r>
            <w:r w:rsidR="008650CC">
              <w:rPr>
                <w:noProof/>
                <w:webHidden/>
              </w:rPr>
              <w:fldChar w:fldCharType="separate"/>
            </w:r>
            <w:r w:rsidR="008650CC">
              <w:rPr>
                <w:noProof/>
                <w:webHidden/>
              </w:rPr>
              <w:t>11</w:t>
            </w:r>
            <w:r w:rsidR="008650CC">
              <w:rPr>
                <w:noProof/>
                <w:webHidden/>
              </w:rPr>
              <w:fldChar w:fldCharType="end"/>
            </w:r>
          </w:hyperlink>
        </w:p>
        <w:p w14:paraId="01F1DDCC" w14:textId="741762F9" w:rsidR="008650CC" w:rsidRDefault="00D17F76">
          <w:pPr>
            <w:pStyle w:val="TOC1"/>
            <w:tabs>
              <w:tab w:val="right" w:leader="dot" w:pos="9016"/>
            </w:tabs>
            <w:rPr>
              <w:rFonts w:cstheme="minorBidi"/>
              <w:noProof/>
              <w:lang w:val="en-GB" w:eastAsia="en-GB"/>
            </w:rPr>
          </w:pPr>
          <w:hyperlink w:anchor="_Toc111469678" w:history="1">
            <w:r w:rsidR="008650CC" w:rsidRPr="009939A1">
              <w:rPr>
                <w:rStyle w:val="Hyperlink"/>
                <w:noProof/>
              </w:rPr>
              <w:t>Need projections</w:t>
            </w:r>
            <w:r w:rsidR="008650CC">
              <w:rPr>
                <w:noProof/>
                <w:webHidden/>
              </w:rPr>
              <w:tab/>
            </w:r>
            <w:r w:rsidR="008650CC">
              <w:rPr>
                <w:noProof/>
                <w:webHidden/>
              </w:rPr>
              <w:fldChar w:fldCharType="begin"/>
            </w:r>
            <w:r w:rsidR="008650CC">
              <w:rPr>
                <w:noProof/>
                <w:webHidden/>
              </w:rPr>
              <w:instrText xml:space="preserve"> PAGEREF _Toc111469678 \h </w:instrText>
            </w:r>
            <w:r w:rsidR="008650CC">
              <w:rPr>
                <w:noProof/>
                <w:webHidden/>
              </w:rPr>
            </w:r>
            <w:r w:rsidR="008650CC">
              <w:rPr>
                <w:noProof/>
                <w:webHidden/>
              </w:rPr>
              <w:fldChar w:fldCharType="separate"/>
            </w:r>
            <w:r w:rsidR="008650CC">
              <w:rPr>
                <w:noProof/>
                <w:webHidden/>
              </w:rPr>
              <w:t>12</w:t>
            </w:r>
            <w:r w:rsidR="008650CC">
              <w:rPr>
                <w:noProof/>
                <w:webHidden/>
              </w:rPr>
              <w:fldChar w:fldCharType="end"/>
            </w:r>
          </w:hyperlink>
        </w:p>
        <w:p w14:paraId="36D69A80" w14:textId="4CAF7EF6" w:rsidR="008650CC" w:rsidRDefault="00D17F76">
          <w:pPr>
            <w:pStyle w:val="TOC3"/>
            <w:tabs>
              <w:tab w:val="right" w:leader="dot" w:pos="9016"/>
            </w:tabs>
            <w:rPr>
              <w:rFonts w:cstheme="minorBidi"/>
              <w:noProof/>
              <w:lang w:val="en-GB" w:eastAsia="en-GB"/>
            </w:rPr>
          </w:pPr>
          <w:hyperlink w:anchor="_Toc111469679" w:history="1">
            <w:r w:rsidR="008650CC" w:rsidRPr="009939A1">
              <w:rPr>
                <w:rStyle w:val="Hyperlink"/>
                <w:noProof/>
              </w:rPr>
              <w:t>Population projections for age 0-25 cohorts over the next ten years,</w:t>
            </w:r>
            <w:r w:rsidR="008650CC">
              <w:rPr>
                <w:noProof/>
                <w:webHidden/>
              </w:rPr>
              <w:tab/>
            </w:r>
            <w:r w:rsidR="008650CC">
              <w:rPr>
                <w:noProof/>
                <w:webHidden/>
              </w:rPr>
              <w:fldChar w:fldCharType="begin"/>
            </w:r>
            <w:r w:rsidR="008650CC">
              <w:rPr>
                <w:noProof/>
                <w:webHidden/>
              </w:rPr>
              <w:instrText xml:space="preserve"> PAGEREF _Toc111469679 \h </w:instrText>
            </w:r>
            <w:r w:rsidR="008650CC">
              <w:rPr>
                <w:noProof/>
                <w:webHidden/>
              </w:rPr>
            </w:r>
            <w:r w:rsidR="008650CC">
              <w:rPr>
                <w:noProof/>
                <w:webHidden/>
              </w:rPr>
              <w:fldChar w:fldCharType="separate"/>
            </w:r>
            <w:r w:rsidR="008650CC">
              <w:rPr>
                <w:noProof/>
                <w:webHidden/>
              </w:rPr>
              <w:t>12</w:t>
            </w:r>
            <w:r w:rsidR="008650CC">
              <w:rPr>
                <w:noProof/>
                <w:webHidden/>
              </w:rPr>
              <w:fldChar w:fldCharType="end"/>
            </w:r>
          </w:hyperlink>
        </w:p>
        <w:p w14:paraId="61F1ED9A" w14:textId="1A67BCD0" w:rsidR="008650CC" w:rsidRDefault="00D17F76">
          <w:pPr>
            <w:pStyle w:val="TOC3"/>
            <w:tabs>
              <w:tab w:val="right" w:leader="dot" w:pos="9016"/>
            </w:tabs>
            <w:rPr>
              <w:rFonts w:cstheme="minorBidi"/>
              <w:noProof/>
              <w:lang w:val="en-GB" w:eastAsia="en-GB"/>
            </w:rPr>
          </w:pPr>
          <w:hyperlink w:anchor="_Toc111469680" w:history="1">
            <w:r w:rsidR="008650CC" w:rsidRPr="009939A1">
              <w:rPr>
                <w:rStyle w:val="Hyperlink"/>
                <w:noProof/>
              </w:rPr>
              <w:t>Increase in demand for EHC and S-support across decade (based on population growth)</w:t>
            </w:r>
            <w:r w:rsidR="008650CC">
              <w:rPr>
                <w:noProof/>
                <w:webHidden/>
              </w:rPr>
              <w:tab/>
            </w:r>
            <w:r w:rsidR="008650CC">
              <w:rPr>
                <w:noProof/>
                <w:webHidden/>
              </w:rPr>
              <w:fldChar w:fldCharType="begin"/>
            </w:r>
            <w:r w:rsidR="008650CC">
              <w:rPr>
                <w:noProof/>
                <w:webHidden/>
              </w:rPr>
              <w:instrText xml:space="preserve"> PAGEREF _Toc111469680 \h </w:instrText>
            </w:r>
            <w:r w:rsidR="008650CC">
              <w:rPr>
                <w:noProof/>
                <w:webHidden/>
              </w:rPr>
            </w:r>
            <w:r w:rsidR="008650CC">
              <w:rPr>
                <w:noProof/>
                <w:webHidden/>
              </w:rPr>
              <w:fldChar w:fldCharType="separate"/>
            </w:r>
            <w:r w:rsidR="008650CC">
              <w:rPr>
                <w:noProof/>
                <w:webHidden/>
              </w:rPr>
              <w:t>12</w:t>
            </w:r>
            <w:r w:rsidR="008650CC">
              <w:rPr>
                <w:noProof/>
                <w:webHidden/>
              </w:rPr>
              <w:fldChar w:fldCharType="end"/>
            </w:r>
          </w:hyperlink>
        </w:p>
        <w:p w14:paraId="19351A45" w14:textId="68849107" w:rsidR="008650CC" w:rsidRDefault="00D17F76">
          <w:pPr>
            <w:pStyle w:val="TOC3"/>
            <w:tabs>
              <w:tab w:val="right" w:leader="dot" w:pos="9016"/>
            </w:tabs>
            <w:rPr>
              <w:rFonts w:cstheme="minorBidi"/>
              <w:noProof/>
              <w:lang w:val="en-GB" w:eastAsia="en-GB"/>
            </w:rPr>
          </w:pPr>
          <w:hyperlink w:anchor="_Toc111469681" w:history="1">
            <w:r w:rsidR="008650CC" w:rsidRPr="009939A1">
              <w:rPr>
                <w:rStyle w:val="Hyperlink"/>
                <w:noProof/>
              </w:rPr>
              <w:t>Increased demand for EHC and SEN support across decade (based on pop. growth and prevalence)</w:t>
            </w:r>
            <w:r w:rsidR="008650CC">
              <w:rPr>
                <w:noProof/>
                <w:webHidden/>
              </w:rPr>
              <w:tab/>
            </w:r>
            <w:r w:rsidR="008650CC">
              <w:rPr>
                <w:noProof/>
                <w:webHidden/>
              </w:rPr>
              <w:fldChar w:fldCharType="begin"/>
            </w:r>
            <w:r w:rsidR="008650CC">
              <w:rPr>
                <w:noProof/>
                <w:webHidden/>
              </w:rPr>
              <w:instrText xml:space="preserve"> PAGEREF _Toc111469681 \h </w:instrText>
            </w:r>
            <w:r w:rsidR="008650CC">
              <w:rPr>
                <w:noProof/>
                <w:webHidden/>
              </w:rPr>
            </w:r>
            <w:r w:rsidR="008650CC">
              <w:rPr>
                <w:noProof/>
                <w:webHidden/>
              </w:rPr>
              <w:fldChar w:fldCharType="separate"/>
            </w:r>
            <w:r w:rsidR="008650CC">
              <w:rPr>
                <w:noProof/>
                <w:webHidden/>
              </w:rPr>
              <w:t>13</w:t>
            </w:r>
            <w:r w:rsidR="008650CC">
              <w:rPr>
                <w:noProof/>
                <w:webHidden/>
              </w:rPr>
              <w:fldChar w:fldCharType="end"/>
            </w:r>
          </w:hyperlink>
        </w:p>
        <w:p w14:paraId="16AC43DF" w14:textId="253D7D12" w:rsidR="0062294F" w:rsidRDefault="0062294F" w:rsidP="00007E2E">
          <w:pPr>
            <w:tabs>
              <w:tab w:val="left" w:pos="6480"/>
            </w:tabs>
          </w:pPr>
          <w:r>
            <w:rPr>
              <w:b/>
              <w:bCs/>
              <w:noProof/>
            </w:rPr>
            <w:fldChar w:fldCharType="end"/>
          </w:r>
          <w:r w:rsidR="00007E2E">
            <w:rPr>
              <w:b/>
              <w:bCs/>
              <w:noProof/>
            </w:rPr>
            <w:tab/>
          </w:r>
        </w:p>
      </w:sdtContent>
    </w:sdt>
    <w:p w14:paraId="01A283D9" w14:textId="77777777" w:rsidR="00C76729" w:rsidRPr="00B23D27" w:rsidRDefault="00C76729" w:rsidP="00C76729">
      <w:pPr>
        <w:pStyle w:val="Heading1"/>
      </w:pPr>
      <w:bookmarkStart w:id="1" w:name="_Toc111469659"/>
      <w:r>
        <w:lastRenderedPageBreak/>
        <w:t>Scope</w:t>
      </w:r>
      <w:bookmarkEnd w:id="1"/>
    </w:p>
    <w:p w14:paraId="52A8BFB9" w14:textId="2F4FACF0" w:rsidR="00752BF9" w:rsidRDefault="00C76729" w:rsidP="00C457A5">
      <w:pPr>
        <w:rPr>
          <w:rFonts w:asciiTheme="majorHAnsi" w:hAnsiTheme="majorHAnsi" w:cstheme="majorHAnsi"/>
          <w:sz w:val="24"/>
        </w:rPr>
      </w:pPr>
      <w:r>
        <w:rPr>
          <w:rFonts w:asciiTheme="majorHAnsi" w:hAnsiTheme="majorHAnsi" w:cstheme="majorHAnsi"/>
          <w:sz w:val="24"/>
        </w:rPr>
        <w:t xml:space="preserve">This report is an addendum to the 2020 CYC needs assessment into special educational needs and disability in children and young people in </w:t>
      </w:r>
      <w:r w:rsidR="00647CED">
        <w:rPr>
          <w:rFonts w:asciiTheme="majorHAnsi" w:hAnsiTheme="majorHAnsi" w:cstheme="majorHAnsi"/>
          <w:sz w:val="24"/>
        </w:rPr>
        <w:t>York and-</w:t>
      </w:r>
      <w:r>
        <w:rPr>
          <w:rFonts w:asciiTheme="majorHAnsi" w:hAnsiTheme="majorHAnsi" w:cstheme="majorHAnsi"/>
          <w:sz w:val="24"/>
        </w:rPr>
        <w:t xml:space="preserve"> should be read in conjunction with the earlier report. </w:t>
      </w:r>
    </w:p>
    <w:p w14:paraId="2ECFF646" w14:textId="31D64A59" w:rsidR="00C76729" w:rsidRPr="00C76729" w:rsidRDefault="00C76729" w:rsidP="00C457A5">
      <w:pPr>
        <w:rPr>
          <w:rFonts w:asciiTheme="majorHAnsi" w:hAnsiTheme="majorHAnsi" w:cstheme="majorHAnsi"/>
          <w:sz w:val="24"/>
        </w:rPr>
      </w:pPr>
      <w:r>
        <w:rPr>
          <w:rFonts w:asciiTheme="majorHAnsi" w:hAnsiTheme="majorHAnsi" w:cstheme="majorHAnsi"/>
          <w:sz w:val="24"/>
        </w:rPr>
        <w:t>This report supplements the 2020 report by bringing an additional focus to</w:t>
      </w:r>
      <w:r w:rsidR="00475DCD">
        <w:rPr>
          <w:rFonts w:asciiTheme="majorHAnsi" w:hAnsiTheme="majorHAnsi" w:cstheme="majorHAnsi"/>
          <w:sz w:val="24"/>
        </w:rPr>
        <w:t xml:space="preserve"> the older cohort</w:t>
      </w:r>
      <w:r>
        <w:rPr>
          <w:rFonts w:asciiTheme="majorHAnsi" w:hAnsiTheme="majorHAnsi" w:cstheme="majorHAnsi"/>
          <w:sz w:val="24"/>
        </w:rPr>
        <w:t xml:space="preserve"> young people with special educational needs</w:t>
      </w:r>
      <w:r w:rsidR="00647CED">
        <w:rPr>
          <w:rFonts w:asciiTheme="majorHAnsi" w:hAnsiTheme="majorHAnsi" w:cstheme="majorHAnsi"/>
          <w:sz w:val="24"/>
        </w:rPr>
        <w:t xml:space="preserve"> a</w:t>
      </w:r>
      <w:r w:rsidR="00475DCD">
        <w:rPr>
          <w:rFonts w:asciiTheme="majorHAnsi" w:hAnsiTheme="majorHAnsi" w:cstheme="majorHAnsi"/>
          <w:sz w:val="24"/>
        </w:rPr>
        <w:t xml:space="preserve">nd </w:t>
      </w:r>
      <w:r w:rsidR="00647CED">
        <w:rPr>
          <w:rFonts w:asciiTheme="majorHAnsi" w:hAnsiTheme="majorHAnsi" w:cstheme="majorHAnsi"/>
          <w:sz w:val="24"/>
        </w:rPr>
        <w:t>further</w:t>
      </w:r>
      <w:r w:rsidR="00475DCD">
        <w:rPr>
          <w:rFonts w:asciiTheme="majorHAnsi" w:hAnsiTheme="majorHAnsi" w:cstheme="majorHAnsi"/>
          <w:sz w:val="24"/>
        </w:rPr>
        <w:t xml:space="preserve"> analysis and projection</w:t>
      </w:r>
      <w:r w:rsidR="00EC467F">
        <w:rPr>
          <w:rFonts w:asciiTheme="majorHAnsi" w:hAnsiTheme="majorHAnsi" w:cstheme="majorHAnsi"/>
          <w:sz w:val="24"/>
        </w:rPr>
        <w:t xml:space="preserve"> of need</w:t>
      </w:r>
      <w:r w:rsidR="00354F77">
        <w:rPr>
          <w:rFonts w:asciiTheme="majorHAnsi" w:hAnsiTheme="majorHAnsi" w:cstheme="majorHAnsi"/>
          <w:sz w:val="24"/>
        </w:rPr>
        <w:t xml:space="preserve">. </w:t>
      </w:r>
    </w:p>
    <w:p w14:paraId="7B27A71B" w14:textId="42683930" w:rsidR="00403838" w:rsidRPr="0062294F" w:rsidRDefault="00403838" w:rsidP="0062294F">
      <w:pPr>
        <w:pStyle w:val="Heading1"/>
      </w:pPr>
      <w:bookmarkStart w:id="2" w:name="_Toc111469660"/>
      <w:r w:rsidRPr="0062294F">
        <w:t>Focus on 19+ cohort</w:t>
      </w:r>
      <w:bookmarkEnd w:id="2"/>
    </w:p>
    <w:p w14:paraId="3B42A22E" w14:textId="59631F99" w:rsidR="00403838" w:rsidRDefault="00605446" w:rsidP="00605446">
      <w:pPr>
        <w:pStyle w:val="Heading3"/>
        <w:tabs>
          <w:tab w:val="left" w:pos="1800"/>
        </w:tabs>
      </w:pPr>
      <w:bookmarkStart w:id="3" w:name="_Toc111469661"/>
      <w:r>
        <w:t>Need type</w:t>
      </w:r>
      <w:bookmarkEnd w:id="3"/>
    </w:p>
    <w:p w14:paraId="0654A3CB" w14:textId="5B6AE1F4" w:rsidR="005C0FC1" w:rsidRPr="00336259" w:rsidRDefault="005C0FC1" w:rsidP="00F930D9">
      <w:pPr>
        <w:rPr>
          <w:rFonts w:asciiTheme="majorHAnsi" w:hAnsiTheme="majorHAnsi" w:cstheme="majorHAnsi"/>
          <w:sz w:val="24"/>
        </w:rPr>
      </w:pPr>
      <w:r w:rsidRPr="00336259">
        <w:rPr>
          <w:rFonts w:asciiTheme="majorHAnsi" w:hAnsiTheme="majorHAnsi" w:cstheme="majorHAnsi"/>
          <w:sz w:val="24"/>
        </w:rPr>
        <w:t xml:space="preserve">The needs of those in the 19 and over cohort are comparable to those in younger age groups, figure </w:t>
      </w:r>
      <w:r w:rsidR="00F930D9" w:rsidRPr="00F930D9">
        <w:rPr>
          <w:rFonts w:asciiTheme="majorHAnsi" w:hAnsiTheme="majorHAnsi" w:cstheme="majorHAnsi"/>
          <w:sz w:val="24"/>
        </w:rPr>
        <w:t>1</w:t>
      </w:r>
      <w:r w:rsidRPr="00336259">
        <w:rPr>
          <w:rFonts w:asciiTheme="majorHAnsi" w:hAnsiTheme="majorHAnsi" w:cstheme="majorHAnsi"/>
          <w:b/>
          <w:sz w:val="24"/>
        </w:rPr>
        <w:t xml:space="preserve"> </w:t>
      </w:r>
      <w:r w:rsidRPr="00336259">
        <w:rPr>
          <w:rFonts w:asciiTheme="majorHAnsi" w:hAnsiTheme="majorHAnsi" w:cstheme="majorHAnsi"/>
          <w:sz w:val="24"/>
        </w:rPr>
        <w:t>shows the number of individuals by different need types.</w:t>
      </w:r>
    </w:p>
    <w:p w14:paraId="504AC7C8" w14:textId="77777777" w:rsidR="00336259" w:rsidRDefault="005C0FC1" w:rsidP="0093477B">
      <w:pPr>
        <w:keepNext/>
        <w:ind w:left="1080"/>
        <w:jc w:val="center"/>
      </w:pPr>
      <w:r>
        <w:rPr>
          <w:noProof/>
          <w:lang w:eastAsia="en-GB"/>
        </w:rPr>
        <w:drawing>
          <wp:inline distT="0" distB="0" distL="0" distR="0" wp14:anchorId="3ADAAD2C" wp14:editId="723245A7">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1C577E" w14:textId="4B7AC74B" w:rsidR="005C0FC1" w:rsidRPr="00336259" w:rsidRDefault="00336259" w:rsidP="00336259">
      <w:pPr>
        <w:pStyle w:val="Caption"/>
        <w:rPr>
          <w:rFonts w:asciiTheme="majorHAnsi" w:hAnsiTheme="majorHAnsi" w:cstheme="majorHAnsi"/>
          <w:sz w:val="24"/>
        </w:rPr>
      </w:pPr>
      <w:r>
        <w:t xml:space="preserve">Figure </w:t>
      </w:r>
      <w:fldSimple w:instr=" SEQ Figure \* ARABIC ">
        <w:r w:rsidR="00B74160">
          <w:rPr>
            <w:noProof/>
          </w:rPr>
          <w:t>1</w:t>
        </w:r>
      </w:fldSimple>
      <w:r>
        <w:t>: Types of need in individuals &gt;19 years old</w:t>
      </w:r>
      <w:r w:rsidR="0050440D">
        <w:t xml:space="preserve"> (local data)</w:t>
      </w:r>
    </w:p>
    <w:p w14:paraId="7255782D" w14:textId="77777777" w:rsidR="005C0FC1" w:rsidRPr="00336259" w:rsidRDefault="005C0FC1" w:rsidP="00336259">
      <w:pPr>
        <w:ind w:left="1080"/>
        <w:rPr>
          <w:rFonts w:asciiTheme="majorHAnsi" w:hAnsiTheme="majorHAnsi" w:cstheme="majorHAnsi"/>
          <w:sz w:val="24"/>
        </w:rPr>
      </w:pPr>
      <w:proofErr w:type="gramStart"/>
      <w:r w:rsidRPr="00336259">
        <w:rPr>
          <w:rFonts w:asciiTheme="majorHAnsi" w:hAnsiTheme="majorHAnsi" w:cstheme="majorHAnsi"/>
          <w:sz w:val="24"/>
        </w:rPr>
        <w:t>The majority of</w:t>
      </w:r>
      <w:proofErr w:type="gramEnd"/>
      <w:r w:rsidRPr="00336259">
        <w:rPr>
          <w:rFonts w:asciiTheme="majorHAnsi" w:hAnsiTheme="majorHAnsi" w:cstheme="majorHAnsi"/>
          <w:sz w:val="24"/>
        </w:rPr>
        <w:t xml:space="preserve"> individuals on support plans over the age of 19 have needs related to autism spectrum disorders </w:t>
      </w:r>
      <w:r w:rsidR="006F03FE" w:rsidRPr="00336259">
        <w:rPr>
          <w:rFonts w:asciiTheme="majorHAnsi" w:hAnsiTheme="majorHAnsi" w:cstheme="majorHAnsi"/>
          <w:sz w:val="24"/>
        </w:rPr>
        <w:t>or</w:t>
      </w:r>
      <w:r w:rsidRPr="00336259">
        <w:rPr>
          <w:rFonts w:asciiTheme="majorHAnsi" w:hAnsiTheme="majorHAnsi" w:cstheme="majorHAnsi"/>
          <w:sz w:val="24"/>
        </w:rPr>
        <w:t xml:space="preserve"> moderate learning difficulties. If considered </w:t>
      </w:r>
      <w:r w:rsidR="006F03FE" w:rsidRPr="00336259">
        <w:rPr>
          <w:rFonts w:asciiTheme="majorHAnsi" w:hAnsiTheme="majorHAnsi" w:cstheme="majorHAnsi"/>
          <w:sz w:val="24"/>
        </w:rPr>
        <w:t xml:space="preserve">together, the social, </w:t>
      </w:r>
      <w:proofErr w:type="gramStart"/>
      <w:r w:rsidR="006F03FE" w:rsidRPr="00336259">
        <w:rPr>
          <w:rFonts w:asciiTheme="majorHAnsi" w:hAnsiTheme="majorHAnsi" w:cstheme="majorHAnsi"/>
          <w:sz w:val="24"/>
        </w:rPr>
        <w:t>emotional</w:t>
      </w:r>
      <w:proofErr w:type="gramEnd"/>
      <w:r w:rsidR="006F03FE" w:rsidRPr="00336259">
        <w:rPr>
          <w:rFonts w:asciiTheme="majorHAnsi" w:hAnsiTheme="majorHAnsi" w:cstheme="majorHAnsi"/>
          <w:sz w:val="24"/>
        </w:rPr>
        <w:t xml:space="preserve"> and mental health categories of need are third most common, alongside severe learning difficulties.</w:t>
      </w:r>
    </w:p>
    <w:p w14:paraId="53F05CD8" w14:textId="77777777" w:rsidR="006F03FE" w:rsidRPr="005C0FC1" w:rsidRDefault="006F03FE" w:rsidP="00336259">
      <w:pPr>
        <w:pStyle w:val="ListParagraph"/>
        <w:rPr>
          <w:rFonts w:asciiTheme="majorHAnsi" w:hAnsiTheme="majorHAnsi" w:cstheme="majorHAnsi"/>
          <w:sz w:val="24"/>
        </w:rPr>
      </w:pPr>
    </w:p>
    <w:p w14:paraId="4726A61B" w14:textId="69D38540" w:rsidR="00403838" w:rsidRDefault="00403838" w:rsidP="00336259">
      <w:pPr>
        <w:pStyle w:val="Heading3"/>
        <w:ind w:left="360"/>
      </w:pPr>
      <w:bookmarkStart w:id="4" w:name="_Toc111469662"/>
      <w:r>
        <w:lastRenderedPageBreak/>
        <w:t>Gender, and age bands (19-25)</w:t>
      </w:r>
      <w:bookmarkEnd w:id="4"/>
    </w:p>
    <w:p w14:paraId="2A8233E7" w14:textId="77777777" w:rsidR="00336259" w:rsidRDefault="00632468" w:rsidP="0093477B">
      <w:pPr>
        <w:keepNext/>
        <w:ind w:left="360"/>
        <w:jc w:val="center"/>
      </w:pPr>
      <w:r>
        <w:rPr>
          <w:noProof/>
          <w:lang w:eastAsia="en-GB"/>
        </w:rPr>
        <w:drawing>
          <wp:inline distT="0" distB="0" distL="0" distR="0" wp14:anchorId="77BBBB69" wp14:editId="569721B8">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ABE9F3" w14:textId="0D7D23DC" w:rsidR="00632468" w:rsidRPr="00336259" w:rsidRDefault="00336259" w:rsidP="00336259">
      <w:pPr>
        <w:pStyle w:val="Caption"/>
        <w:rPr>
          <w:rFonts w:asciiTheme="majorHAnsi" w:hAnsiTheme="majorHAnsi" w:cstheme="majorHAnsi"/>
          <w:sz w:val="24"/>
        </w:rPr>
      </w:pPr>
      <w:r>
        <w:t xml:space="preserve">Figure </w:t>
      </w:r>
      <w:fldSimple w:instr=" SEQ Figure \* ARABIC ">
        <w:r w:rsidR="00B74160">
          <w:rPr>
            <w:noProof/>
          </w:rPr>
          <w:t>2</w:t>
        </w:r>
      </w:fldSimple>
      <w:r>
        <w:t>: Demographics of &gt;19 EHCP cohort by age and gender</w:t>
      </w:r>
      <w:r w:rsidR="0050440D">
        <w:t xml:space="preserve"> (local data)</w:t>
      </w:r>
    </w:p>
    <w:p w14:paraId="56AE433E" w14:textId="7830DF81" w:rsidR="00632468" w:rsidRPr="00336259" w:rsidRDefault="00336259" w:rsidP="00336259">
      <w:pPr>
        <w:ind w:left="360"/>
        <w:rPr>
          <w:rFonts w:asciiTheme="majorHAnsi" w:hAnsiTheme="majorHAnsi" w:cstheme="majorHAnsi"/>
          <w:sz w:val="24"/>
        </w:rPr>
      </w:pPr>
      <w:r>
        <w:rPr>
          <w:rFonts w:asciiTheme="majorHAnsi" w:hAnsiTheme="majorHAnsi" w:cstheme="majorHAnsi"/>
          <w:sz w:val="24"/>
        </w:rPr>
        <w:t>Figure 2</w:t>
      </w:r>
      <w:r w:rsidR="00632468" w:rsidRPr="00336259">
        <w:rPr>
          <w:rFonts w:asciiTheme="majorHAnsi" w:hAnsiTheme="majorHAnsi" w:cstheme="majorHAnsi"/>
          <w:sz w:val="24"/>
        </w:rPr>
        <w:t xml:space="preserve"> shows the distribution by age and gender of EHCP individuals in December 2021. There is a clear downward trend in the total number of individuals on plans as age increases, and a greater proportion of males on plans at all ages.</w:t>
      </w:r>
    </w:p>
    <w:p w14:paraId="39E32917" w14:textId="56C6C14A" w:rsidR="00336259" w:rsidRDefault="00336259" w:rsidP="00336259">
      <w:pPr>
        <w:keepNext/>
        <w:ind w:left="360"/>
      </w:pPr>
    </w:p>
    <w:p w14:paraId="30BF3945" w14:textId="54AF415A" w:rsidR="00403838" w:rsidRPr="00091DFE" w:rsidRDefault="00FE6E48" w:rsidP="00536125">
      <w:pPr>
        <w:rPr>
          <w:rStyle w:val="Heading3Char"/>
        </w:rPr>
      </w:pPr>
      <w:bookmarkStart w:id="5" w:name="_Toc111469663"/>
      <w:r w:rsidRPr="00091DFE">
        <w:rPr>
          <w:rStyle w:val="Heading3Char"/>
        </w:rPr>
        <w:t>C</w:t>
      </w:r>
      <w:r w:rsidR="00403838" w:rsidRPr="00091DFE">
        <w:rPr>
          <w:rStyle w:val="Heading3Char"/>
        </w:rPr>
        <w:t>urrent provision type, funding types</w:t>
      </w:r>
      <w:r w:rsidR="0093477B">
        <w:rPr>
          <w:rStyle w:val="Heading3Char"/>
        </w:rPr>
        <w:t>, work</w:t>
      </w:r>
      <w:bookmarkEnd w:id="5"/>
    </w:p>
    <w:p w14:paraId="4AF687A9" w14:textId="0DD89A0E" w:rsidR="00D504D7" w:rsidRDefault="00D504D7" w:rsidP="00D504D7">
      <w:pPr>
        <w:pStyle w:val="Caption"/>
        <w:keepNext/>
      </w:pPr>
      <w:r>
        <w:t xml:space="preserve">Table </w:t>
      </w:r>
      <w:r w:rsidR="00D17F76">
        <w:fldChar w:fldCharType="begin"/>
      </w:r>
      <w:r w:rsidR="00D17F76">
        <w:instrText xml:space="preserve"> SEQ Table \* ARABIC </w:instrText>
      </w:r>
      <w:r w:rsidR="00D17F76">
        <w:fldChar w:fldCharType="separate"/>
      </w:r>
      <w:r>
        <w:rPr>
          <w:noProof/>
        </w:rPr>
        <w:t>1</w:t>
      </w:r>
      <w:r w:rsidR="00D17F76">
        <w:rPr>
          <w:noProof/>
        </w:rPr>
        <w:fldChar w:fldCharType="end"/>
      </w:r>
      <w:r>
        <w:t>: Provision and funding for Post 16 EHCP</w:t>
      </w:r>
      <w:r w:rsidR="0050440D">
        <w:t xml:space="preserve"> (local data)</w:t>
      </w:r>
    </w:p>
    <w:p w14:paraId="57B6C55B" w14:textId="77777777" w:rsidR="00F930D9" w:rsidRDefault="00F930D9" w:rsidP="00D504D7">
      <w:pPr>
        <w:keepNext/>
      </w:pPr>
      <w:r w:rsidRPr="00C95745">
        <w:rPr>
          <w:noProof/>
          <w:lang w:eastAsia="en-GB"/>
        </w:rPr>
        <w:drawing>
          <wp:inline distT="0" distB="0" distL="0" distR="0" wp14:anchorId="76EDD49D" wp14:editId="5C891F5E">
            <wp:extent cx="5731510" cy="191516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915160"/>
                    </a:xfrm>
                    <a:prstGeom prst="rect">
                      <a:avLst/>
                    </a:prstGeom>
                    <a:noFill/>
                    <a:ln>
                      <a:noFill/>
                    </a:ln>
                  </pic:spPr>
                </pic:pic>
              </a:graphicData>
            </a:graphic>
          </wp:inline>
        </w:drawing>
      </w:r>
    </w:p>
    <w:p w14:paraId="25D1CA46" w14:textId="2EE008E6" w:rsidR="0093477B" w:rsidRDefault="00D504D7" w:rsidP="0093477B">
      <w:pPr>
        <w:keepNext/>
        <w:rPr>
          <w:noProof/>
          <w:lang w:eastAsia="en-GB"/>
        </w:rPr>
      </w:pPr>
      <w:r>
        <w:rPr>
          <w:rFonts w:asciiTheme="majorHAnsi" w:hAnsiTheme="majorHAnsi" w:cstheme="majorHAnsi"/>
          <w:sz w:val="24"/>
        </w:rPr>
        <w:t>Table 1</w:t>
      </w:r>
      <w:r w:rsidR="00F930D9">
        <w:rPr>
          <w:rFonts w:asciiTheme="majorHAnsi" w:hAnsiTheme="majorHAnsi" w:cstheme="majorHAnsi"/>
          <w:sz w:val="24"/>
        </w:rPr>
        <w:t xml:space="preserve"> shows the current provision for individuals </w:t>
      </w:r>
      <w:proofErr w:type="gramStart"/>
      <w:r w:rsidR="00F930D9">
        <w:rPr>
          <w:rFonts w:asciiTheme="majorHAnsi" w:hAnsiTheme="majorHAnsi" w:cstheme="majorHAnsi"/>
          <w:sz w:val="24"/>
        </w:rPr>
        <w:t>age</w:t>
      </w:r>
      <w:proofErr w:type="gramEnd"/>
      <w:r w:rsidR="00F930D9">
        <w:rPr>
          <w:rFonts w:asciiTheme="majorHAnsi" w:hAnsiTheme="majorHAnsi" w:cstheme="majorHAnsi"/>
          <w:sz w:val="24"/>
        </w:rPr>
        <w:t xml:space="preserve"> 16 and over in the City of York, as is to be expected, the majority of year 12-14 young adults remain in education and further education. This trend however continues well </w:t>
      </w:r>
      <w:proofErr w:type="gramStart"/>
      <w:r w:rsidR="00F930D9">
        <w:rPr>
          <w:rFonts w:asciiTheme="majorHAnsi" w:hAnsiTheme="majorHAnsi" w:cstheme="majorHAnsi"/>
          <w:sz w:val="24"/>
        </w:rPr>
        <w:t>in to</w:t>
      </w:r>
      <w:proofErr w:type="gramEnd"/>
      <w:r w:rsidR="00F930D9">
        <w:rPr>
          <w:rFonts w:asciiTheme="majorHAnsi" w:hAnsiTheme="majorHAnsi" w:cstheme="majorHAnsi"/>
          <w:sz w:val="24"/>
        </w:rPr>
        <w:t xml:space="preserve"> adulthood</w:t>
      </w:r>
      <w:r w:rsidR="006A2345">
        <w:rPr>
          <w:rFonts w:asciiTheme="majorHAnsi" w:hAnsiTheme="majorHAnsi" w:cstheme="majorHAnsi"/>
          <w:sz w:val="24"/>
        </w:rPr>
        <w:t xml:space="preserve">; at age 21 68% of individuals remain in further education, and at age 24 59% remain in further education. Further </w:t>
      </w:r>
      <w:r w:rsidR="0093477B">
        <w:rPr>
          <w:rFonts w:asciiTheme="majorHAnsi" w:hAnsiTheme="majorHAnsi" w:cstheme="majorHAnsi"/>
          <w:sz w:val="24"/>
        </w:rPr>
        <w:t xml:space="preserve">review </w:t>
      </w:r>
      <w:r w:rsidR="0093477B">
        <w:rPr>
          <w:rFonts w:asciiTheme="majorHAnsi" w:hAnsiTheme="majorHAnsi" w:cstheme="majorHAnsi"/>
          <w:sz w:val="24"/>
        </w:rPr>
        <w:lastRenderedPageBreak/>
        <w:t>of individual cases would help to understand if these placements are supporting individuals to live as independently as they are able to.</w:t>
      </w:r>
      <w:r w:rsidR="0093477B" w:rsidRPr="0093477B">
        <w:rPr>
          <w:noProof/>
          <w:lang w:eastAsia="en-GB"/>
        </w:rPr>
        <w:t xml:space="preserve"> </w:t>
      </w:r>
    </w:p>
    <w:tbl>
      <w:tblPr>
        <w:tblStyle w:val="TableGrid"/>
        <w:tblW w:w="0" w:type="auto"/>
        <w:tblLook w:val="04A0" w:firstRow="1" w:lastRow="0" w:firstColumn="1" w:lastColumn="0" w:noHBand="0" w:noVBand="1"/>
      </w:tblPr>
      <w:tblGrid>
        <w:gridCol w:w="9016"/>
      </w:tblGrid>
      <w:tr w:rsidR="006E6DD6" w14:paraId="030F9521" w14:textId="77777777" w:rsidTr="006E6DD6">
        <w:tc>
          <w:tcPr>
            <w:tcW w:w="9016" w:type="dxa"/>
          </w:tcPr>
          <w:p w14:paraId="229A3065" w14:textId="77777777" w:rsidR="006E6DD6" w:rsidRDefault="006E6DD6" w:rsidP="0093477B">
            <w:pPr>
              <w:keepNext/>
              <w:rPr>
                <w:noProof/>
                <w:lang w:eastAsia="en-GB"/>
              </w:rPr>
            </w:pPr>
            <w:r>
              <w:rPr>
                <w:noProof/>
                <w:lang w:eastAsia="en-GB"/>
              </w:rPr>
              <w:t>Reccomendation:</w:t>
            </w:r>
          </w:p>
          <w:p w14:paraId="2B01E735" w14:textId="7078E76D" w:rsidR="006E6DD6" w:rsidRDefault="006E6DD6" w:rsidP="0093477B">
            <w:pPr>
              <w:keepNext/>
              <w:rPr>
                <w:noProof/>
                <w:lang w:eastAsia="en-GB"/>
              </w:rPr>
            </w:pPr>
            <w:r>
              <w:rPr>
                <w:noProof/>
                <w:lang w:eastAsia="en-GB"/>
              </w:rPr>
              <w:t>Begin regular audits to ass</w:t>
            </w:r>
            <w:r w:rsidR="00647CED">
              <w:rPr>
                <w:noProof/>
                <w:lang w:eastAsia="en-GB"/>
              </w:rPr>
              <w:t>ure</w:t>
            </w:r>
            <w:r>
              <w:rPr>
                <w:noProof/>
                <w:lang w:eastAsia="en-GB"/>
              </w:rPr>
              <w:t xml:space="preserve"> suitability of placements</w:t>
            </w:r>
            <w:r w:rsidR="00647CED">
              <w:rPr>
                <w:noProof/>
                <w:lang w:eastAsia="en-GB"/>
              </w:rPr>
              <w:t xml:space="preserve"> maximise independance</w:t>
            </w:r>
            <w:r>
              <w:rPr>
                <w:noProof/>
                <w:lang w:eastAsia="en-GB"/>
              </w:rPr>
              <w:t>.</w:t>
            </w:r>
          </w:p>
        </w:tc>
      </w:tr>
    </w:tbl>
    <w:p w14:paraId="037E55CF" w14:textId="77777777" w:rsidR="006E6DD6" w:rsidRDefault="006E6DD6" w:rsidP="0093477B">
      <w:pPr>
        <w:keepNext/>
        <w:rPr>
          <w:noProof/>
          <w:lang w:eastAsia="en-GB"/>
        </w:rPr>
      </w:pPr>
    </w:p>
    <w:p w14:paraId="00EB049A" w14:textId="4B2D5990" w:rsidR="0093477B" w:rsidRDefault="0093477B" w:rsidP="0093477B">
      <w:pPr>
        <w:keepNext/>
        <w:jc w:val="center"/>
      </w:pPr>
      <w:r>
        <w:rPr>
          <w:noProof/>
          <w:lang w:eastAsia="en-GB"/>
        </w:rPr>
        <w:drawing>
          <wp:inline distT="0" distB="0" distL="0" distR="0" wp14:anchorId="49E892DF" wp14:editId="7A575C09">
            <wp:extent cx="3552189" cy="31081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747" t="15933" r="51339" b="54644"/>
                    <a:stretch/>
                  </pic:blipFill>
                  <pic:spPr bwMode="auto">
                    <a:xfrm>
                      <a:off x="0" y="0"/>
                      <a:ext cx="3571596" cy="3125148"/>
                    </a:xfrm>
                    <a:prstGeom prst="rect">
                      <a:avLst/>
                    </a:prstGeom>
                    <a:ln>
                      <a:noFill/>
                    </a:ln>
                    <a:extLst>
                      <a:ext uri="{53640926-AAD7-44D8-BBD7-CCE9431645EC}">
                        <a14:shadowObscured xmlns:a14="http://schemas.microsoft.com/office/drawing/2010/main"/>
                      </a:ext>
                    </a:extLst>
                  </pic:spPr>
                </pic:pic>
              </a:graphicData>
            </a:graphic>
          </wp:inline>
        </w:drawing>
      </w:r>
    </w:p>
    <w:p w14:paraId="375D730D" w14:textId="15FFABD6" w:rsidR="00F930D9" w:rsidRPr="00C427FF" w:rsidRDefault="0093477B" w:rsidP="0093477B">
      <w:pPr>
        <w:pStyle w:val="Caption"/>
        <w:rPr>
          <w:rFonts w:asciiTheme="majorHAnsi" w:hAnsiTheme="majorHAnsi" w:cstheme="majorHAnsi"/>
          <w:sz w:val="24"/>
        </w:rPr>
      </w:pPr>
      <w:r>
        <w:t xml:space="preserve">Figure </w:t>
      </w:r>
      <w:fldSimple w:instr=" SEQ Figure \* ARABIC ">
        <w:r w:rsidR="00B74160">
          <w:rPr>
            <w:noProof/>
          </w:rPr>
          <w:t>3</w:t>
        </w:r>
      </w:fldSimple>
      <w:r>
        <w:t>: Apprenticeship starters in 2021, LLDD status</w:t>
      </w:r>
      <w:r w:rsidR="0050440D">
        <w:t xml:space="preserve"> (local data)</w:t>
      </w:r>
    </w:p>
    <w:p w14:paraId="1CA2E13C" w14:textId="1286FA1E" w:rsidR="0093477B" w:rsidRDefault="0093477B" w:rsidP="0093477B">
      <w:pPr>
        <w:rPr>
          <w:rFonts w:asciiTheme="majorHAnsi" w:hAnsiTheme="majorHAnsi" w:cstheme="majorHAnsi"/>
          <w:sz w:val="24"/>
        </w:rPr>
      </w:pPr>
      <w:r w:rsidRPr="0093477B">
        <w:rPr>
          <w:rFonts w:asciiTheme="majorHAnsi" w:hAnsiTheme="majorHAnsi" w:cstheme="majorHAnsi"/>
          <w:sz w:val="24"/>
        </w:rPr>
        <w:t>Apprenticeships are an attractive option for individuals leaving mainstream education at the age of 16</w:t>
      </w:r>
      <w:r w:rsidR="003910BC">
        <w:rPr>
          <w:rFonts w:asciiTheme="majorHAnsi" w:hAnsiTheme="majorHAnsi" w:cstheme="majorHAnsi"/>
          <w:sz w:val="24"/>
        </w:rPr>
        <w:t>.</w:t>
      </w:r>
      <w:r w:rsidRPr="0093477B">
        <w:rPr>
          <w:rFonts w:asciiTheme="majorHAnsi" w:hAnsiTheme="majorHAnsi" w:cstheme="majorHAnsi"/>
          <w:sz w:val="24"/>
        </w:rPr>
        <w:t xml:space="preserve"> </w:t>
      </w:r>
      <w:r w:rsidR="003910BC">
        <w:rPr>
          <w:rFonts w:asciiTheme="majorHAnsi" w:hAnsiTheme="majorHAnsi" w:cstheme="majorHAnsi"/>
          <w:sz w:val="24"/>
        </w:rPr>
        <w:t>A</w:t>
      </w:r>
      <w:r w:rsidRPr="0093477B">
        <w:rPr>
          <w:rFonts w:asciiTheme="majorHAnsi" w:hAnsiTheme="majorHAnsi" w:cstheme="majorHAnsi"/>
          <w:sz w:val="24"/>
        </w:rPr>
        <w:t xml:space="preserve">cross City of York around 1020 apprenticeship roles were offered in the academic year of 2020-21, of which 130 (12.7%) were started by people with LLDD (Learning difficulties or </w:t>
      </w:r>
      <w:r w:rsidR="00647CED" w:rsidRPr="0093477B">
        <w:rPr>
          <w:rFonts w:asciiTheme="majorHAnsi" w:hAnsiTheme="majorHAnsi" w:cstheme="majorHAnsi"/>
          <w:sz w:val="24"/>
        </w:rPr>
        <w:t>disabilities)</w:t>
      </w:r>
      <w:r w:rsidR="00647CED">
        <w:rPr>
          <w:rFonts w:asciiTheme="majorHAnsi" w:hAnsiTheme="majorHAnsi" w:cstheme="majorHAnsi"/>
          <w:sz w:val="24"/>
        </w:rPr>
        <w:t xml:space="preserve"> (</w:t>
      </w:r>
      <w:r w:rsidR="00FE5B93">
        <w:rPr>
          <w:rFonts w:asciiTheme="majorHAnsi" w:hAnsiTheme="majorHAnsi" w:cstheme="majorHAnsi"/>
          <w:sz w:val="24"/>
        </w:rPr>
        <w:t xml:space="preserve">Figure </w:t>
      </w:r>
      <w:r w:rsidR="00D504D7">
        <w:rPr>
          <w:rFonts w:asciiTheme="majorHAnsi" w:hAnsiTheme="majorHAnsi" w:cstheme="majorHAnsi"/>
          <w:sz w:val="24"/>
        </w:rPr>
        <w:t>3</w:t>
      </w:r>
      <w:r w:rsidR="00FE5B93">
        <w:rPr>
          <w:rFonts w:asciiTheme="majorHAnsi" w:hAnsiTheme="majorHAnsi" w:cstheme="majorHAnsi"/>
          <w:sz w:val="24"/>
        </w:rPr>
        <w:t>)</w:t>
      </w:r>
      <w:r w:rsidRPr="0093477B">
        <w:rPr>
          <w:rFonts w:asciiTheme="majorHAnsi" w:hAnsiTheme="majorHAnsi" w:cstheme="majorHAnsi"/>
          <w:sz w:val="24"/>
        </w:rPr>
        <w:t>.</w:t>
      </w:r>
      <w:r w:rsidR="00FE5B93">
        <w:rPr>
          <w:rFonts w:asciiTheme="majorHAnsi" w:hAnsiTheme="majorHAnsi" w:cstheme="majorHAnsi"/>
          <w:sz w:val="24"/>
        </w:rPr>
        <w:t xml:space="preserve"> Proportionally individuals with learning difficulties and disabilities seem well represented </w:t>
      </w:r>
      <w:r w:rsidR="00FE5B93" w:rsidRPr="0093477B">
        <w:rPr>
          <w:rFonts w:asciiTheme="majorHAnsi" w:hAnsiTheme="majorHAnsi" w:cstheme="majorHAnsi"/>
          <w:sz w:val="24"/>
        </w:rPr>
        <w:t>in</w:t>
      </w:r>
      <w:r w:rsidR="00FE5B93">
        <w:rPr>
          <w:rFonts w:asciiTheme="majorHAnsi" w:hAnsiTheme="majorHAnsi" w:cstheme="majorHAnsi"/>
          <w:sz w:val="24"/>
        </w:rPr>
        <w:t xml:space="preserve"> apprenticeship starters.</w:t>
      </w:r>
    </w:p>
    <w:p w14:paraId="0064194F" w14:textId="4CD54A21" w:rsidR="00FE5B93" w:rsidRDefault="00FE5B93" w:rsidP="00FE5B93">
      <w:pPr>
        <w:pStyle w:val="Heading3"/>
      </w:pPr>
      <w:bookmarkStart w:id="6" w:name="_Toc111469664"/>
      <w:r>
        <w:t>Not in Education, Employment or Training</w:t>
      </w:r>
      <w:bookmarkEnd w:id="6"/>
    </w:p>
    <w:p w14:paraId="09DCE0A5" w14:textId="716CFF31" w:rsidR="00FE5B93" w:rsidRDefault="00FE5B93" w:rsidP="00FE5B93">
      <w:pPr>
        <w:keepNext/>
      </w:pPr>
      <w:r w:rsidRPr="00FE5B93">
        <w:rPr>
          <w:rFonts w:asciiTheme="majorHAnsi" w:hAnsiTheme="majorHAnsi" w:cstheme="majorHAnsi"/>
          <w:sz w:val="24"/>
        </w:rPr>
        <w:t xml:space="preserve">Monitoring and reducing the number of people Not in Education, Employment or Training </w:t>
      </w:r>
      <w:r w:rsidR="003910BC">
        <w:rPr>
          <w:rFonts w:asciiTheme="majorHAnsi" w:hAnsiTheme="majorHAnsi" w:cstheme="majorHAnsi"/>
          <w:sz w:val="24"/>
        </w:rPr>
        <w:t xml:space="preserve">(NEET) </w:t>
      </w:r>
      <w:r w:rsidRPr="00FE5B93">
        <w:rPr>
          <w:rFonts w:asciiTheme="majorHAnsi" w:hAnsiTheme="majorHAnsi" w:cstheme="majorHAnsi"/>
          <w:sz w:val="24"/>
        </w:rPr>
        <w:t xml:space="preserve">has been a priority to address social exclusion for nearly two </w:t>
      </w:r>
      <w:r w:rsidR="00647CED" w:rsidRPr="00FE5B93">
        <w:rPr>
          <w:rFonts w:asciiTheme="majorHAnsi" w:hAnsiTheme="majorHAnsi" w:cstheme="majorHAnsi"/>
          <w:sz w:val="24"/>
        </w:rPr>
        <w:t>decades</w:t>
      </w:r>
      <w:r w:rsidRPr="00FE5B93">
        <w:rPr>
          <w:rFonts w:asciiTheme="majorHAnsi" w:hAnsiTheme="majorHAnsi" w:cstheme="majorHAnsi"/>
          <w:sz w:val="24"/>
        </w:rPr>
        <w:t>. Recognising that SEND can be an additional barrier to employment and further educ</w:t>
      </w:r>
      <w:r>
        <w:rPr>
          <w:rFonts w:asciiTheme="majorHAnsi" w:hAnsiTheme="majorHAnsi" w:cstheme="majorHAnsi"/>
          <w:sz w:val="24"/>
        </w:rPr>
        <w:t xml:space="preserve">ation this is reported. Figure </w:t>
      </w:r>
      <w:r w:rsidR="00D504D7">
        <w:rPr>
          <w:rFonts w:asciiTheme="majorHAnsi" w:hAnsiTheme="majorHAnsi" w:cstheme="majorHAnsi"/>
          <w:sz w:val="24"/>
        </w:rPr>
        <w:t>4</w:t>
      </w:r>
      <w:r w:rsidRPr="00FE5B93">
        <w:rPr>
          <w:rFonts w:asciiTheme="majorHAnsi" w:hAnsiTheme="majorHAnsi" w:cstheme="majorHAnsi"/>
          <w:sz w:val="24"/>
        </w:rPr>
        <w:t xml:space="preserve"> shows the reducing trend in </w:t>
      </w:r>
      <w:proofErr w:type="gramStart"/>
      <w:r w:rsidRPr="00FE5B93">
        <w:rPr>
          <w:rFonts w:asciiTheme="majorHAnsi" w:hAnsiTheme="majorHAnsi" w:cstheme="majorHAnsi"/>
          <w:sz w:val="24"/>
        </w:rPr>
        <w:t>16-17 year olds</w:t>
      </w:r>
      <w:proofErr w:type="gramEnd"/>
      <w:r w:rsidRPr="00FE5B93">
        <w:rPr>
          <w:rFonts w:asciiTheme="majorHAnsi" w:hAnsiTheme="majorHAnsi" w:cstheme="majorHAnsi"/>
          <w:sz w:val="24"/>
        </w:rPr>
        <w:t xml:space="preserve"> with EHCP or statement who are NEET.  </w:t>
      </w:r>
      <w:r>
        <w:rPr>
          <w:noProof/>
          <w:lang w:eastAsia="en-GB"/>
        </w:rPr>
        <w:drawing>
          <wp:inline distT="0" distB="0" distL="0" distR="0" wp14:anchorId="5293B761" wp14:editId="07EEE918">
            <wp:extent cx="5610822" cy="18573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461" t="65885" r="38345" b="5751"/>
                    <a:stretch/>
                  </pic:blipFill>
                  <pic:spPr bwMode="auto">
                    <a:xfrm>
                      <a:off x="0" y="0"/>
                      <a:ext cx="5616901" cy="1859387"/>
                    </a:xfrm>
                    <a:prstGeom prst="rect">
                      <a:avLst/>
                    </a:prstGeom>
                    <a:ln>
                      <a:noFill/>
                    </a:ln>
                    <a:extLst>
                      <a:ext uri="{53640926-AAD7-44D8-BBD7-CCE9431645EC}">
                        <a14:shadowObscured xmlns:a14="http://schemas.microsoft.com/office/drawing/2010/main"/>
                      </a:ext>
                    </a:extLst>
                  </pic:spPr>
                </pic:pic>
              </a:graphicData>
            </a:graphic>
          </wp:inline>
        </w:drawing>
      </w:r>
    </w:p>
    <w:p w14:paraId="2D89A164" w14:textId="70418C3B" w:rsidR="00FE5B93" w:rsidRDefault="00FE5B93" w:rsidP="00FE5B93">
      <w:pPr>
        <w:pStyle w:val="Caption"/>
        <w:rPr>
          <w:rFonts w:asciiTheme="majorHAnsi" w:hAnsiTheme="majorHAnsi" w:cstheme="majorHAnsi"/>
          <w:sz w:val="24"/>
        </w:rPr>
      </w:pPr>
      <w:r>
        <w:t xml:space="preserve">Figure </w:t>
      </w:r>
      <w:fldSimple w:instr=" SEQ Figure \* ARABIC ">
        <w:r w:rsidR="00B74160">
          <w:rPr>
            <w:noProof/>
          </w:rPr>
          <w:t>4</w:t>
        </w:r>
      </w:fldSimple>
      <w:r>
        <w:t xml:space="preserve">: Number of year 12 and 13 aged individuals with an EHCP who </w:t>
      </w:r>
      <w:proofErr w:type="gramStart"/>
      <w:r>
        <w:t>are NEET</w:t>
      </w:r>
      <w:r w:rsidR="0050440D">
        <w:t xml:space="preserve"> (Local data)</w:t>
      </w:r>
      <w:proofErr w:type="gramEnd"/>
    </w:p>
    <w:p w14:paraId="230D8E36" w14:textId="77C9A289" w:rsidR="00FE5B93" w:rsidRPr="00FE5B93" w:rsidRDefault="00FE5B93" w:rsidP="00FE5B93">
      <w:pPr>
        <w:rPr>
          <w:rFonts w:asciiTheme="majorHAnsi" w:hAnsiTheme="majorHAnsi" w:cstheme="majorHAnsi"/>
          <w:sz w:val="24"/>
        </w:rPr>
      </w:pPr>
      <w:r w:rsidRPr="00FE5B93">
        <w:rPr>
          <w:rFonts w:asciiTheme="majorHAnsi" w:hAnsiTheme="majorHAnsi" w:cstheme="majorHAnsi"/>
          <w:sz w:val="24"/>
        </w:rPr>
        <w:lastRenderedPageBreak/>
        <w:t xml:space="preserve">A similar trend has been observed in the whole population of this age group in City of York, however both reflect favourably against </w:t>
      </w:r>
      <w:r w:rsidR="003910BC">
        <w:rPr>
          <w:rFonts w:asciiTheme="majorHAnsi" w:hAnsiTheme="majorHAnsi" w:cstheme="majorHAnsi"/>
          <w:sz w:val="24"/>
        </w:rPr>
        <w:t>the</w:t>
      </w:r>
      <w:r w:rsidRPr="00FE5B93">
        <w:rPr>
          <w:rFonts w:asciiTheme="majorHAnsi" w:hAnsiTheme="majorHAnsi" w:cstheme="majorHAnsi"/>
          <w:sz w:val="24"/>
        </w:rPr>
        <w:t xml:space="preserve"> national and trends which have not demonstrated the same pronounced decrease over the last few years.</w:t>
      </w:r>
      <w:r>
        <w:rPr>
          <w:rFonts w:asciiTheme="majorHAnsi" w:hAnsiTheme="majorHAnsi" w:cstheme="majorHAnsi"/>
          <w:sz w:val="24"/>
        </w:rPr>
        <w:t xml:space="preserve"> </w:t>
      </w:r>
    </w:p>
    <w:p w14:paraId="2D363AF4" w14:textId="77777777" w:rsidR="00FE5B93" w:rsidRDefault="00FE5B93" w:rsidP="00FE5B93">
      <w:pPr>
        <w:keepNext/>
      </w:pPr>
      <w:r>
        <w:rPr>
          <w:noProof/>
          <w:lang w:eastAsia="en-GB"/>
        </w:rPr>
        <w:drawing>
          <wp:inline distT="0" distB="0" distL="0" distR="0" wp14:anchorId="010409DA" wp14:editId="12FAA4CC">
            <wp:extent cx="5663565" cy="37064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3565" cy="3706495"/>
                    </a:xfrm>
                    <a:prstGeom prst="rect">
                      <a:avLst/>
                    </a:prstGeom>
                    <a:noFill/>
                  </pic:spPr>
                </pic:pic>
              </a:graphicData>
            </a:graphic>
          </wp:inline>
        </w:drawing>
      </w:r>
    </w:p>
    <w:p w14:paraId="1480652E" w14:textId="7578BB94" w:rsidR="00FE5B93" w:rsidRDefault="00FE5B93" w:rsidP="00FE5B93">
      <w:pPr>
        <w:pStyle w:val="Caption"/>
      </w:pPr>
      <w:r>
        <w:t xml:space="preserve">Figure </w:t>
      </w:r>
      <w:fldSimple w:instr=" SEQ Figure \* ARABIC ">
        <w:r w:rsidR="00B74160">
          <w:rPr>
            <w:noProof/>
          </w:rPr>
          <w:t>5</w:t>
        </w:r>
      </w:fldSimple>
      <w:r>
        <w:t>: NEET status by age and composition</w:t>
      </w:r>
      <w:r w:rsidR="0050440D">
        <w:t xml:space="preserve"> (local data)</w:t>
      </w:r>
    </w:p>
    <w:p w14:paraId="5A155FAB" w14:textId="1CD3E5DD" w:rsidR="00FE5B93" w:rsidRPr="00FE5B93" w:rsidRDefault="00FE5B93" w:rsidP="00FE5B93">
      <w:pPr>
        <w:rPr>
          <w:rFonts w:asciiTheme="majorHAnsi" w:hAnsiTheme="majorHAnsi" w:cstheme="majorHAnsi"/>
          <w:sz w:val="24"/>
        </w:rPr>
      </w:pPr>
      <w:r w:rsidRPr="00FE5B93">
        <w:rPr>
          <w:rFonts w:asciiTheme="majorHAnsi" w:hAnsiTheme="majorHAnsi" w:cstheme="majorHAnsi"/>
          <w:sz w:val="24"/>
        </w:rPr>
        <w:t xml:space="preserve">An analysis of </w:t>
      </w:r>
      <w:r>
        <w:rPr>
          <w:rFonts w:asciiTheme="majorHAnsi" w:hAnsiTheme="majorHAnsi" w:cstheme="majorHAnsi"/>
          <w:sz w:val="24"/>
        </w:rPr>
        <w:t>locally held</w:t>
      </w:r>
      <w:r w:rsidRPr="00FE5B93">
        <w:rPr>
          <w:rFonts w:asciiTheme="majorHAnsi" w:hAnsiTheme="majorHAnsi" w:cstheme="majorHAnsi"/>
          <w:sz w:val="24"/>
        </w:rPr>
        <w:t xml:space="preserve"> data for individuals with EHCPs who are identified as </w:t>
      </w:r>
      <w:r w:rsidR="003910BC">
        <w:rPr>
          <w:rFonts w:asciiTheme="majorHAnsi" w:hAnsiTheme="majorHAnsi" w:cstheme="majorHAnsi"/>
          <w:sz w:val="24"/>
        </w:rPr>
        <w:t>NEET</w:t>
      </w:r>
      <w:r w:rsidR="005F5B2C">
        <w:rPr>
          <w:rFonts w:asciiTheme="majorHAnsi" w:hAnsiTheme="majorHAnsi" w:cstheme="majorHAnsi"/>
          <w:sz w:val="24"/>
        </w:rPr>
        <w:t xml:space="preserve"> (Figure </w:t>
      </w:r>
      <w:r w:rsidR="00D504D7">
        <w:rPr>
          <w:rFonts w:asciiTheme="majorHAnsi" w:hAnsiTheme="majorHAnsi" w:cstheme="majorHAnsi"/>
          <w:sz w:val="24"/>
        </w:rPr>
        <w:t>5</w:t>
      </w:r>
      <w:r w:rsidRPr="00FE5B93">
        <w:rPr>
          <w:rFonts w:asciiTheme="majorHAnsi" w:hAnsiTheme="majorHAnsi" w:cstheme="majorHAnsi"/>
          <w:sz w:val="24"/>
        </w:rPr>
        <w:t xml:space="preserve">) does not appear to show any substantial trend over the different age groups, nor does there seem to be any strong theme in cause for not participating in education, </w:t>
      </w:r>
      <w:r w:rsidR="00647CED" w:rsidRPr="00FE5B93">
        <w:rPr>
          <w:rFonts w:asciiTheme="majorHAnsi" w:hAnsiTheme="majorHAnsi" w:cstheme="majorHAnsi"/>
          <w:sz w:val="24"/>
        </w:rPr>
        <w:t>employment,</w:t>
      </w:r>
      <w:r w:rsidRPr="00FE5B93">
        <w:rPr>
          <w:rFonts w:asciiTheme="majorHAnsi" w:hAnsiTheme="majorHAnsi" w:cstheme="majorHAnsi"/>
          <w:sz w:val="24"/>
        </w:rPr>
        <w:t xml:space="preserve"> or training.</w:t>
      </w:r>
    </w:p>
    <w:p w14:paraId="701E60C0" w14:textId="77777777" w:rsidR="00FE5B93" w:rsidRPr="0093477B" w:rsidRDefault="00FE5B93" w:rsidP="0093477B">
      <w:pPr>
        <w:rPr>
          <w:rFonts w:asciiTheme="majorHAnsi" w:hAnsiTheme="majorHAnsi" w:cstheme="majorHAnsi"/>
          <w:sz w:val="24"/>
        </w:rPr>
      </w:pPr>
    </w:p>
    <w:p w14:paraId="3304CF47" w14:textId="5C1CA022" w:rsidR="00403838" w:rsidRDefault="0093477B" w:rsidP="00091DFE">
      <w:pPr>
        <w:pStyle w:val="Heading3"/>
      </w:pPr>
      <w:bookmarkStart w:id="7" w:name="_Toc111469665"/>
      <w:r>
        <w:t>Attainment 8</w:t>
      </w:r>
      <w:bookmarkEnd w:id="7"/>
    </w:p>
    <w:p w14:paraId="0B8BC96A" w14:textId="77777777" w:rsidR="009F2D90" w:rsidRPr="00336259" w:rsidRDefault="00A10B4D" w:rsidP="0093477B">
      <w:pPr>
        <w:rPr>
          <w:rFonts w:asciiTheme="majorHAnsi" w:hAnsiTheme="majorHAnsi" w:cstheme="majorHAnsi"/>
          <w:sz w:val="24"/>
        </w:rPr>
      </w:pPr>
      <w:r w:rsidRPr="00336259">
        <w:rPr>
          <w:rFonts w:asciiTheme="majorHAnsi" w:hAnsiTheme="majorHAnsi" w:cstheme="majorHAnsi"/>
          <w:sz w:val="24"/>
        </w:rPr>
        <w:t>Attainment 8 score is a benchmarking tool used across secondary schools in England, with the notable exception of independent schools.</w:t>
      </w:r>
      <w:r w:rsidR="009F2D90" w:rsidRPr="00336259">
        <w:rPr>
          <w:rFonts w:asciiTheme="majorHAnsi" w:hAnsiTheme="majorHAnsi" w:cstheme="majorHAnsi"/>
          <w:sz w:val="24"/>
        </w:rPr>
        <w:t xml:space="preserve">  Attainment 8 calculates the average of each student’s top 8 GCSE result, with additional weighting to core subjects such as English and mathematics. Attainment 8 is usually considered in conjunction with Progress 8 which similarly uses 8 GCSE results, but instead reflects the relative improvement or deterioration of pupils against their standards on entry to secondary school.</w:t>
      </w:r>
    </w:p>
    <w:p w14:paraId="4F3D6953" w14:textId="21EF9E5A" w:rsidR="00A10B4D" w:rsidRPr="00336259" w:rsidRDefault="009F2D90" w:rsidP="0093477B">
      <w:pPr>
        <w:rPr>
          <w:rFonts w:asciiTheme="majorHAnsi" w:hAnsiTheme="majorHAnsi" w:cstheme="majorHAnsi"/>
          <w:sz w:val="24"/>
        </w:rPr>
      </w:pPr>
      <w:r w:rsidRPr="00336259">
        <w:rPr>
          <w:rFonts w:asciiTheme="majorHAnsi" w:hAnsiTheme="majorHAnsi" w:cstheme="majorHAnsi"/>
          <w:sz w:val="24"/>
        </w:rPr>
        <w:t xml:space="preserve">York secondary schools typically compare well </w:t>
      </w:r>
      <w:r w:rsidR="00FE6E48" w:rsidRPr="00336259">
        <w:rPr>
          <w:rFonts w:asciiTheme="majorHAnsi" w:hAnsiTheme="majorHAnsi" w:cstheme="majorHAnsi"/>
          <w:sz w:val="24"/>
        </w:rPr>
        <w:t>nationally, York KS4 students in 2021 achieving a mean attainment 8 of 5.6 versus 5.7 nationally. Progress 8, which can mitigate some of the beneficial demographic factors that York benefits from is also significantly above the national average 0.32 versus a national average of 0.</w:t>
      </w:r>
    </w:p>
    <w:p w14:paraId="2DD7FC05" w14:textId="77777777" w:rsidR="0093477B" w:rsidRDefault="005E2D52" w:rsidP="00746E6F">
      <w:pPr>
        <w:keepNext/>
        <w:jc w:val="center"/>
      </w:pPr>
      <w:r>
        <w:rPr>
          <w:noProof/>
          <w:lang w:eastAsia="en-GB"/>
        </w:rPr>
        <w:lastRenderedPageBreak/>
        <w:drawing>
          <wp:inline distT="0" distB="0" distL="0" distR="0" wp14:anchorId="6ACAA96D" wp14:editId="5FECB493">
            <wp:extent cx="5686425" cy="228981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8979" cy="2294865"/>
                    </a:xfrm>
                    <a:prstGeom prst="rect">
                      <a:avLst/>
                    </a:prstGeom>
                    <a:noFill/>
                  </pic:spPr>
                </pic:pic>
              </a:graphicData>
            </a:graphic>
          </wp:inline>
        </w:drawing>
      </w:r>
    </w:p>
    <w:p w14:paraId="009AA995" w14:textId="76DA8E66" w:rsidR="00FE6E48" w:rsidRDefault="0093477B" w:rsidP="0093477B">
      <w:pPr>
        <w:pStyle w:val="Caption"/>
        <w:rPr>
          <w:rFonts w:asciiTheme="majorHAnsi" w:hAnsiTheme="majorHAnsi" w:cstheme="majorHAnsi"/>
          <w:sz w:val="24"/>
        </w:rPr>
      </w:pPr>
      <w:r>
        <w:t xml:space="preserve">Figure </w:t>
      </w:r>
      <w:fldSimple w:instr=" SEQ Figure \* ARABIC ">
        <w:r w:rsidR="00B74160">
          <w:rPr>
            <w:noProof/>
          </w:rPr>
          <w:t>6</w:t>
        </w:r>
      </w:fldSimple>
      <w:r>
        <w:t>: Attainment 8 in SEN group</w:t>
      </w:r>
    </w:p>
    <w:p w14:paraId="06C1D533" w14:textId="0826223C" w:rsidR="005E2D52" w:rsidRPr="0093477B" w:rsidRDefault="0093477B" w:rsidP="0093477B">
      <w:pPr>
        <w:ind w:left="360"/>
        <w:rPr>
          <w:rFonts w:asciiTheme="majorHAnsi" w:hAnsiTheme="majorHAnsi" w:cstheme="majorHAnsi"/>
          <w:sz w:val="24"/>
        </w:rPr>
      </w:pPr>
      <w:r>
        <w:rPr>
          <w:rFonts w:asciiTheme="majorHAnsi" w:hAnsiTheme="majorHAnsi" w:cstheme="majorHAnsi"/>
          <w:sz w:val="24"/>
        </w:rPr>
        <w:t xml:space="preserve">Figure </w:t>
      </w:r>
      <w:r w:rsidR="00D504D7">
        <w:rPr>
          <w:rFonts w:asciiTheme="majorHAnsi" w:hAnsiTheme="majorHAnsi" w:cstheme="majorHAnsi"/>
          <w:sz w:val="24"/>
        </w:rPr>
        <w:t>6</w:t>
      </w:r>
      <w:r w:rsidR="005E2D52" w:rsidRPr="0093477B">
        <w:rPr>
          <w:rFonts w:asciiTheme="majorHAnsi" w:hAnsiTheme="majorHAnsi" w:cstheme="majorHAnsi"/>
          <w:sz w:val="24"/>
        </w:rPr>
        <w:t xml:space="preserve"> is an </w:t>
      </w:r>
      <w:r w:rsidR="00917080" w:rsidRPr="0093477B">
        <w:rPr>
          <w:rFonts w:asciiTheme="majorHAnsi" w:hAnsiTheme="majorHAnsi" w:cstheme="majorHAnsi"/>
          <w:sz w:val="24"/>
        </w:rPr>
        <w:t>extract from the 2021 Attainment 8 report benchmarking the results of Key Stage 4 students with SEN support or EHC plan in the City of York against those nationally</w:t>
      </w:r>
      <w:r w:rsidR="00D504D7">
        <w:rPr>
          <w:rFonts w:asciiTheme="majorHAnsi" w:hAnsiTheme="majorHAnsi" w:cstheme="majorHAnsi"/>
          <w:sz w:val="24"/>
        </w:rPr>
        <w:t>;</w:t>
      </w:r>
      <w:r w:rsidR="00917080" w:rsidRPr="0093477B">
        <w:rPr>
          <w:rFonts w:asciiTheme="majorHAnsi" w:hAnsiTheme="majorHAnsi" w:cstheme="majorHAnsi"/>
          <w:sz w:val="24"/>
        </w:rPr>
        <w:t xml:space="preserve"> whilst </w:t>
      </w:r>
      <w:r w:rsidR="00334DE5">
        <w:rPr>
          <w:rFonts w:asciiTheme="majorHAnsi" w:hAnsiTheme="majorHAnsi" w:cstheme="majorHAnsi"/>
          <w:sz w:val="24"/>
        </w:rPr>
        <w:t>a slight deterioration</w:t>
      </w:r>
      <w:r w:rsidR="00917080" w:rsidRPr="0093477B">
        <w:rPr>
          <w:rFonts w:asciiTheme="majorHAnsi" w:hAnsiTheme="majorHAnsi" w:cstheme="majorHAnsi"/>
          <w:sz w:val="24"/>
        </w:rPr>
        <w:t xml:space="preserve"> in Progress 8 was noted, this was not statistically significant. The overall Attainment 8 was statistically </w:t>
      </w:r>
      <w:proofErr w:type="gramStart"/>
      <w:r w:rsidR="00917080" w:rsidRPr="0093477B">
        <w:rPr>
          <w:rFonts w:asciiTheme="majorHAnsi" w:hAnsiTheme="majorHAnsi" w:cstheme="majorHAnsi"/>
          <w:sz w:val="24"/>
        </w:rPr>
        <w:t>similar to</w:t>
      </w:r>
      <w:proofErr w:type="gramEnd"/>
      <w:r w:rsidR="00917080" w:rsidRPr="0093477B">
        <w:rPr>
          <w:rFonts w:asciiTheme="majorHAnsi" w:hAnsiTheme="majorHAnsi" w:cstheme="majorHAnsi"/>
          <w:sz w:val="24"/>
        </w:rPr>
        <w:t xml:space="preserve"> the national average, 3.7 in York versus a national average of 3.6. </w:t>
      </w:r>
    </w:p>
    <w:p w14:paraId="48936927" w14:textId="40EBBCC5" w:rsidR="00C457A5" w:rsidRPr="0062294F" w:rsidRDefault="00403838" w:rsidP="0062294F">
      <w:pPr>
        <w:pStyle w:val="Heading1"/>
      </w:pPr>
      <w:bookmarkStart w:id="8" w:name="_Toc111469666"/>
      <w:r w:rsidRPr="0062294F">
        <w:t>P</w:t>
      </w:r>
      <w:r w:rsidR="00BD7DCD" w:rsidRPr="0062294F">
        <w:t>athways</w:t>
      </w:r>
      <w:r w:rsidR="00912CFA" w:rsidRPr="0062294F">
        <w:t xml:space="preserve"> and Timeliness</w:t>
      </w:r>
      <w:bookmarkEnd w:id="8"/>
      <w:r w:rsidR="00BD7DCD" w:rsidRPr="0062294F">
        <w:t xml:space="preserve"> </w:t>
      </w:r>
    </w:p>
    <w:p w14:paraId="5F21726A" w14:textId="20761FAF" w:rsidR="00752BF9" w:rsidRPr="00992C38" w:rsidRDefault="00A1405F" w:rsidP="005F5B2C">
      <w:pPr>
        <w:pStyle w:val="Heading3"/>
      </w:pPr>
      <w:bookmarkStart w:id="9" w:name="_Toc111469667"/>
      <w:r w:rsidRPr="00992C38">
        <w:t>Age of first EHCP by need type</w:t>
      </w:r>
      <w:bookmarkEnd w:id="9"/>
    </w:p>
    <w:p w14:paraId="234864DA" w14:textId="77777777" w:rsidR="006A4A3C" w:rsidRDefault="006A4A3C" w:rsidP="006A4A3C">
      <w:pPr>
        <w:keepNext/>
        <w:jc w:val="center"/>
      </w:pPr>
      <w:r>
        <w:rPr>
          <w:noProof/>
          <w:lang w:eastAsia="en-GB"/>
        </w:rPr>
        <w:drawing>
          <wp:inline distT="0" distB="0" distL="0" distR="0" wp14:anchorId="19BD6BF7" wp14:editId="12E3A964">
            <wp:extent cx="4572000" cy="2747962"/>
            <wp:effectExtent l="0" t="0" r="0"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AF64CE" w14:textId="375481C0" w:rsidR="006A4A3C" w:rsidRDefault="006A4A3C" w:rsidP="006A4A3C">
      <w:pPr>
        <w:pStyle w:val="Caption"/>
      </w:pPr>
      <w:r>
        <w:t xml:space="preserve">Figure </w:t>
      </w:r>
      <w:fldSimple w:instr=" SEQ Figure \* ARABIC ">
        <w:r w:rsidR="00B74160">
          <w:rPr>
            <w:noProof/>
          </w:rPr>
          <w:t>7</w:t>
        </w:r>
      </w:fldSimple>
      <w:r>
        <w:t>: New EHC plans in CYC by age 2015-2020</w:t>
      </w:r>
      <w:r w:rsidR="0050440D">
        <w:t xml:space="preserve"> (local data)</w:t>
      </w:r>
    </w:p>
    <w:p w14:paraId="1ACF0ACF" w14:textId="15B96910" w:rsidR="00EA55BE" w:rsidRPr="00D504D7" w:rsidRDefault="00EA55BE" w:rsidP="00EA55BE">
      <w:pPr>
        <w:rPr>
          <w:rFonts w:asciiTheme="majorHAnsi" w:hAnsiTheme="majorHAnsi" w:cstheme="majorHAnsi"/>
          <w:sz w:val="24"/>
          <w:szCs w:val="24"/>
        </w:rPr>
      </w:pPr>
      <w:r w:rsidRPr="00D504D7">
        <w:rPr>
          <w:rFonts w:asciiTheme="majorHAnsi" w:hAnsiTheme="majorHAnsi" w:cstheme="majorHAnsi"/>
          <w:sz w:val="24"/>
          <w:szCs w:val="24"/>
        </w:rPr>
        <w:t>The general trend since 2015</w:t>
      </w:r>
      <w:r w:rsidR="00D504D7">
        <w:rPr>
          <w:rFonts w:asciiTheme="majorHAnsi" w:hAnsiTheme="majorHAnsi" w:cstheme="majorHAnsi"/>
          <w:sz w:val="24"/>
          <w:szCs w:val="24"/>
        </w:rPr>
        <w:t xml:space="preserve"> (Figure 7)</w:t>
      </w:r>
      <w:r w:rsidRPr="00D504D7">
        <w:rPr>
          <w:rFonts w:asciiTheme="majorHAnsi" w:hAnsiTheme="majorHAnsi" w:cstheme="majorHAnsi"/>
          <w:sz w:val="24"/>
          <w:szCs w:val="24"/>
        </w:rPr>
        <w:t xml:space="preserve"> has been a reduction in the proportion of new plans for children under 5</w:t>
      </w:r>
      <w:r w:rsidR="003910BC">
        <w:rPr>
          <w:rFonts w:asciiTheme="majorHAnsi" w:hAnsiTheme="majorHAnsi" w:cstheme="majorHAnsi"/>
          <w:sz w:val="24"/>
          <w:szCs w:val="24"/>
        </w:rPr>
        <w:t>;</w:t>
      </w:r>
      <w:r w:rsidRPr="00D504D7">
        <w:rPr>
          <w:rFonts w:asciiTheme="majorHAnsi" w:hAnsiTheme="majorHAnsi" w:cstheme="majorHAnsi"/>
          <w:sz w:val="24"/>
          <w:szCs w:val="24"/>
        </w:rPr>
        <w:t xml:space="preserve"> a greater proportion of new plans have started in the primary school </w:t>
      </w:r>
      <w:r w:rsidR="00992C38" w:rsidRPr="00D504D7">
        <w:rPr>
          <w:rFonts w:asciiTheme="majorHAnsi" w:hAnsiTheme="majorHAnsi" w:cstheme="majorHAnsi"/>
          <w:sz w:val="24"/>
          <w:szCs w:val="24"/>
        </w:rPr>
        <w:t xml:space="preserve">age group. The proportion of new plans for people aged 16-19 is </w:t>
      </w:r>
      <w:r w:rsidR="00D504D7" w:rsidRPr="00D504D7">
        <w:rPr>
          <w:rFonts w:asciiTheme="majorHAnsi" w:hAnsiTheme="majorHAnsi" w:cstheme="majorHAnsi"/>
          <w:sz w:val="24"/>
          <w:szCs w:val="24"/>
        </w:rPr>
        <w:t>highly</w:t>
      </w:r>
      <w:r w:rsidR="00992C38" w:rsidRPr="00D504D7">
        <w:rPr>
          <w:rFonts w:asciiTheme="majorHAnsi" w:hAnsiTheme="majorHAnsi" w:cstheme="majorHAnsi"/>
          <w:sz w:val="24"/>
          <w:szCs w:val="24"/>
        </w:rPr>
        <w:t xml:space="preserve"> variable, in part due to the small number of new plans in that group. </w:t>
      </w:r>
    </w:p>
    <w:p w14:paraId="560796CE" w14:textId="09D5A0A3" w:rsidR="00D64FC1" w:rsidRPr="006E3B0C" w:rsidRDefault="00D64FC1" w:rsidP="005F5B2C">
      <w:pPr>
        <w:pStyle w:val="Heading3"/>
        <w:rPr>
          <w:rFonts w:cstheme="majorHAnsi"/>
        </w:rPr>
      </w:pPr>
      <w:bookmarkStart w:id="10" w:name="_Toc111469668"/>
      <w:r w:rsidRPr="006E3B0C">
        <w:rPr>
          <w:rFonts w:cstheme="majorHAnsi"/>
        </w:rPr>
        <w:lastRenderedPageBreak/>
        <w:t>Trends in closed EHCP each year</w:t>
      </w:r>
      <w:bookmarkEnd w:id="10"/>
    </w:p>
    <w:p w14:paraId="4702822A" w14:textId="77777777" w:rsidR="00D504D7" w:rsidRDefault="0014201D" w:rsidP="00D504D7">
      <w:pPr>
        <w:keepNext/>
        <w:jc w:val="center"/>
      </w:pPr>
      <w:r>
        <w:rPr>
          <w:noProof/>
          <w:highlight w:val="magenta"/>
          <w:lang w:eastAsia="en-GB"/>
        </w:rPr>
        <w:drawing>
          <wp:inline distT="0" distB="0" distL="0" distR="0" wp14:anchorId="55C2E7EE" wp14:editId="58D08022">
            <wp:extent cx="4578350" cy="27559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3705DE1D" w14:textId="3CC7815A" w:rsidR="0014201D" w:rsidRDefault="00D504D7" w:rsidP="00D504D7">
      <w:pPr>
        <w:pStyle w:val="Caption"/>
        <w:jc w:val="center"/>
        <w:rPr>
          <w:highlight w:val="magenta"/>
        </w:rPr>
      </w:pPr>
      <w:r>
        <w:t xml:space="preserve">Figure </w:t>
      </w:r>
      <w:r w:rsidR="00D17F76">
        <w:fldChar w:fldCharType="begin"/>
      </w:r>
      <w:r w:rsidR="00D17F76">
        <w:instrText xml:space="preserve"> SEQ Figure \* ARABIC </w:instrText>
      </w:r>
      <w:r w:rsidR="00D17F76">
        <w:fldChar w:fldCharType="separate"/>
      </w:r>
      <w:r w:rsidR="00B74160">
        <w:rPr>
          <w:noProof/>
        </w:rPr>
        <w:t>8</w:t>
      </w:r>
      <w:r w:rsidR="00D17F76">
        <w:rPr>
          <w:noProof/>
        </w:rPr>
        <w:fldChar w:fldCharType="end"/>
      </w:r>
      <w:r>
        <w:t>: Number of EHCP plans recorded as closed, by age, between August 2021 and January 2022</w:t>
      </w:r>
      <w:r w:rsidR="0050440D">
        <w:t xml:space="preserve"> (local data)</w:t>
      </w:r>
    </w:p>
    <w:p w14:paraId="16B21DF0" w14:textId="23F40B69" w:rsidR="0014201D" w:rsidRPr="00D504D7" w:rsidRDefault="0014201D" w:rsidP="0014201D">
      <w:pPr>
        <w:rPr>
          <w:rFonts w:asciiTheme="majorHAnsi" w:hAnsiTheme="majorHAnsi" w:cstheme="majorHAnsi"/>
          <w:sz w:val="24"/>
          <w:szCs w:val="24"/>
        </w:rPr>
      </w:pPr>
      <w:r w:rsidRPr="00D504D7">
        <w:rPr>
          <w:rFonts w:asciiTheme="majorHAnsi" w:hAnsiTheme="majorHAnsi" w:cstheme="majorHAnsi"/>
          <w:sz w:val="24"/>
          <w:szCs w:val="24"/>
        </w:rPr>
        <w:t xml:space="preserve">Data about closure of EHCP has not been routinely collected in the past. A review of recent closures </w:t>
      </w:r>
      <w:r w:rsidR="00D504D7">
        <w:rPr>
          <w:rFonts w:asciiTheme="majorHAnsi" w:hAnsiTheme="majorHAnsi" w:cstheme="majorHAnsi"/>
          <w:sz w:val="24"/>
          <w:szCs w:val="24"/>
        </w:rPr>
        <w:t xml:space="preserve">(Figure 8) </w:t>
      </w:r>
      <w:r w:rsidRPr="00D504D7">
        <w:rPr>
          <w:rFonts w:asciiTheme="majorHAnsi" w:hAnsiTheme="majorHAnsi" w:cstheme="majorHAnsi"/>
          <w:sz w:val="24"/>
          <w:szCs w:val="24"/>
        </w:rPr>
        <w:t xml:space="preserve">found that </w:t>
      </w:r>
      <w:proofErr w:type="gramStart"/>
      <w:r w:rsidRPr="00D504D7">
        <w:rPr>
          <w:rFonts w:asciiTheme="majorHAnsi" w:hAnsiTheme="majorHAnsi" w:cstheme="majorHAnsi"/>
          <w:sz w:val="24"/>
          <w:szCs w:val="24"/>
        </w:rPr>
        <w:t>the majority of</w:t>
      </w:r>
      <w:proofErr w:type="gramEnd"/>
      <w:r w:rsidRPr="00D504D7">
        <w:rPr>
          <w:rFonts w:asciiTheme="majorHAnsi" w:hAnsiTheme="majorHAnsi" w:cstheme="majorHAnsi"/>
          <w:sz w:val="24"/>
          <w:szCs w:val="24"/>
        </w:rPr>
        <w:t xml:space="preserve"> closures occur above the age of 18, with peaks at the age of 18, 20 and 25.</w:t>
      </w:r>
    </w:p>
    <w:p w14:paraId="7C312FC7" w14:textId="789B463F" w:rsidR="00C457A5" w:rsidRDefault="00C457A5" w:rsidP="00F41F14">
      <w:pPr>
        <w:pStyle w:val="ListParagraph"/>
        <w:rPr>
          <w:rFonts w:asciiTheme="majorHAnsi" w:hAnsiTheme="majorHAnsi" w:cstheme="majorHAnsi"/>
          <w:sz w:val="24"/>
        </w:rPr>
      </w:pPr>
    </w:p>
    <w:tbl>
      <w:tblPr>
        <w:tblStyle w:val="TableGrid"/>
        <w:tblW w:w="0" w:type="auto"/>
        <w:tblInd w:w="720" w:type="dxa"/>
        <w:tblLook w:val="04A0" w:firstRow="1" w:lastRow="0" w:firstColumn="1" w:lastColumn="0" w:noHBand="0" w:noVBand="1"/>
      </w:tblPr>
      <w:tblGrid>
        <w:gridCol w:w="8296"/>
      </w:tblGrid>
      <w:tr w:rsidR="00C41879" w14:paraId="2A7956C0" w14:textId="77777777" w:rsidTr="00C41879">
        <w:tc>
          <w:tcPr>
            <w:tcW w:w="9016" w:type="dxa"/>
          </w:tcPr>
          <w:p w14:paraId="76C53495" w14:textId="1C88BB34" w:rsidR="00C41879" w:rsidRDefault="00C41879" w:rsidP="00F41F14">
            <w:pPr>
              <w:pStyle w:val="ListParagraph"/>
              <w:ind w:left="0"/>
              <w:rPr>
                <w:rFonts w:asciiTheme="majorHAnsi" w:hAnsiTheme="majorHAnsi" w:cstheme="majorHAnsi"/>
                <w:sz w:val="24"/>
              </w:rPr>
            </w:pPr>
            <w:r>
              <w:rPr>
                <w:rFonts w:asciiTheme="majorHAnsi" w:hAnsiTheme="majorHAnsi" w:cstheme="majorHAnsi"/>
                <w:sz w:val="24"/>
              </w:rPr>
              <w:t>Recommendation:</w:t>
            </w:r>
          </w:p>
          <w:p w14:paraId="7AEB2863" w14:textId="5D30B811" w:rsidR="00C41879" w:rsidRDefault="0014201D" w:rsidP="00F41F14">
            <w:pPr>
              <w:pStyle w:val="ListParagraph"/>
              <w:ind w:left="0"/>
              <w:rPr>
                <w:rFonts w:asciiTheme="majorHAnsi" w:hAnsiTheme="majorHAnsi" w:cstheme="majorHAnsi"/>
                <w:sz w:val="24"/>
              </w:rPr>
            </w:pPr>
            <w:r>
              <w:rPr>
                <w:rFonts w:asciiTheme="majorHAnsi" w:hAnsiTheme="majorHAnsi" w:cstheme="majorHAnsi"/>
                <w:sz w:val="24"/>
              </w:rPr>
              <w:t xml:space="preserve">Begin collecting </w:t>
            </w:r>
            <w:r w:rsidR="00640E16">
              <w:rPr>
                <w:rFonts w:asciiTheme="majorHAnsi" w:hAnsiTheme="majorHAnsi" w:cstheme="majorHAnsi"/>
                <w:sz w:val="24"/>
              </w:rPr>
              <w:t xml:space="preserve">and producing </w:t>
            </w:r>
            <w:r>
              <w:rPr>
                <w:rFonts w:asciiTheme="majorHAnsi" w:hAnsiTheme="majorHAnsi" w:cstheme="majorHAnsi"/>
                <w:sz w:val="24"/>
              </w:rPr>
              <w:t>annual data on new plans by age and type, and age and type of plans closed.</w:t>
            </w:r>
          </w:p>
        </w:tc>
      </w:tr>
    </w:tbl>
    <w:p w14:paraId="769C51B2" w14:textId="77777777" w:rsidR="0033105D" w:rsidRPr="0033105D" w:rsidRDefault="0033105D" w:rsidP="0033105D"/>
    <w:p w14:paraId="5EBB8FAB" w14:textId="000636F7" w:rsidR="00C457A5" w:rsidRPr="0062294F" w:rsidRDefault="00D75631" w:rsidP="0062294F">
      <w:pPr>
        <w:pStyle w:val="Heading1"/>
      </w:pPr>
      <w:bookmarkStart w:id="11" w:name="_Toc111469669"/>
      <w:r w:rsidRPr="0062294F">
        <w:t>Inclusive City</w:t>
      </w:r>
      <w:bookmarkEnd w:id="11"/>
    </w:p>
    <w:p w14:paraId="09AE5D6B" w14:textId="743A5BDF" w:rsidR="008B0B37" w:rsidRPr="0026634A" w:rsidRDefault="00C6540A" w:rsidP="009759CD">
      <w:pPr>
        <w:rPr>
          <w:rFonts w:asciiTheme="majorHAnsi" w:hAnsiTheme="majorHAnsi" w:cstheme="majorHAnsi"/>
          <w:sz w:val="24"/>
          <w:szCs w:val="24"/>
        </w:rPr>
      </w:pPr>
      <w:r w:rsidRPr="0026634A">
        <w:rPr>
          <w:rFonts w:asciiTheme="majorHAnsi" w:hAnsiTheme="majorHAnsi" w:cstheme="majorHAnsi"/>
          <w:sz w:val="24"/>
          <w:szCs w:val="24"/>
        </w:rPr>
        <w:t xml:space="preserve">York’s </w:t>
      </w:r>
      <w:r w:rsidR="00D75631" w:rsidRPr="0026634A">
        <w:rPr>
          <w:rFonts w:asciiTheme="majorHAnsi" w:hAnsiTheme="majorHAnsi" w:cstheme="majorHAnsi"/>
          <w:sz w:val="24"/>
          <w:szCs w:val="24"/>
        </w:rPr>
        <w:t>Local Offer</w:t>
      </w:r>
      <w:r w:rsidRPr="0026634A">
        <w:rPr>
          <w:rFonts w:asciiTheme="majorHAnsi" w:hAnsiTheme="majorHAnsi" w:cstheme="majorHAnsi"/>
          <w:sz w:val="24"/>
          <w:szCs w:val="24"/>
        </w:rPr>
        <w:t xml:space="preserve"> for SEND</w:t>
      </w:r>
      <w:r w:rsidR="004A4E08" w:rsidRPr="0026634A">
        <w:rPr>
          <w:rFonts w:asciiTheme="majorHAnsi" w:hAnsiTheme="majorHAnsi" w:cstheme="majorHAnsi"/>
          <w:sz w:val="24"/>
          <w:szCs w:val="24"/>
        </w:rPr>
        <w:t>, a website supported</w:t>
      </w:r>
      <w:r w:rsidR="00D75631" w:rsidRPr="0026634A">
        <w:rPr>
          <w:rFonts w:asciiTheme="majorHAnsi" w:hAnsiTheme="majorHAnsi" w:cstheme="majorHAnsi"/>
          <w:sz w:val="24"/>
          <w:szCs w:val="24"/>
        </w:rPr>
        <w:t xml:space="preserve"> </w:t>
      </w:r>
      <w:r w:rsidRPr="0026634A">
        <w:rPr>
          <w:rFonts w:asciiTheme="majorHAnsi" w:hAnsiTheme="majorHAnsi" w:cstheme="majorHAnsi"/>
          <w:sz w:val="24"/>
          <w:szCs w:val="24"/>
        </w:rPr>
        <w:t xml:space="preserve">by the Family Information Service is a repository of information regarding education, post-16 options, health services, SEN guidance, </w:t>
      </w:r>
      <w:proofErr w:type="gramStart"/>
      <w:r w:rsidRPr="0026634A">
        <w:rPr>
          <w:rFonts w:asciiTheme="majorHAnsi" w:hAnsiTheme="majorHAnsi" w:cstheme="majorHAnsi"/>
          <w:sz w:val="24"/>
          <w:szCs w:val="24"/>
        </w:rPr>
        <w:t>parent</w:t>
      </w:r>
      <w:proofErr w:type="gramEnd"/>
      <w:r w:rsidRPr="0026634A">
        <w:rPr>
          <w:rFonts w:asciiTheme="majorHAnsi" w:hAnsiTheme="majorHAnsi" w:cstheme="majorHAnsi"/>
          <w:sz w:val="24"/>
          <w:szCs w:val="24"/>
        </w:rPr>
        <w:t xml:space="preserve"> and carer support</w:t>
      </w:r>
      <w:r w:rsidR="004A4E08" w:rsidRPr="0026634A">
        <w:rPr>
          <w:rFonts w:asciiTheme="majorHAnsi" w:hAnsiTheme="majorHAnsi" w:cstheme="majorHAnsi"/>
          <w:sz w:val="24"/>
          <w:szCs w:val="24"/>
        </w:rPr>
        <w:t xml:space="preserve"> and more. The site is designed to be accessible to anybody who is involved with SEN.</w:t>
      </w:r>
      <w:r w:rsidR="004042E9" w:rsidRPr="0026634A">
        <w:rPr>
          <w:rFonts w:asciiTheme="majorHAnsi" w:hAnsiTheme="majorHAnsi" w:cstheme="majorHAnsi"/>
          <w:sz w:val="24"/>
          <w:szCs w:val="24"/>
        </w:rPr>
        <w:t xml:space="preserve"> </w:t>
      </w:r>
      <w:r w:rsidR="008B0B37" w:rsidRPr="0026634A">
        <w:rPr>
          <w:rFonts w:asciiTheme="majorHAnsi" w:hAnsiTheme="majorHAnsi" w:cstheme="majorHAnsi"/>
          <w:sz w:val="24"/>
          <w:szCs w:val="24"/>
        </w:rPr>
        <w:t>Furthermore</w:t>
      </w:r>
      <w:r w:rsidR="003910BC">
        <w:rPr>
          <w:rFonts w:asciiTheme="majorHAnsi" w:hAnsiTheme="majorHAnsi" w:cstheme="majorHAnsi"/>
          <w:sz w:val="24"/>
          <w:szCs w:val="24"/>
        </w:rPr>
        <w:t>,</w:t>
      </w:r>
      <w:r w:rsidR="008B0B37" w:rsidRPr="0026634A">
        <w:rPr>
          <w:rFonts w:asciiTheme="majorHAnsi" w:hAnsiTheme="majorHAnsi" w:cstheme="majorHAnsi"/>
          <w:sz w:val="24"/>
          <w:szCs w:val="24"/>
        </w:rPr>
        <w:t xml:space="preserve"> an officer is available to visit families and young people at home to help them with navigating the site. </w:t>
      </w:r>
    </w:p>
    <w:p w14:paraId="5C836D7C" w14:textId="669B7178" w:rsidR="00D75631" w:rsidRPr="0026634A" w:rsidRDefault="008B0B37" w:rsidP="009759CD">
      <w:pPr>
        <w:rPr>
          <w:rFonts w:asciiTheme="majorHAnsi" w:hAnsiTheme="majorHAnsi" w:cstheme="majorHAnsi"/>
          <w:sz w:val="24"/>
          <w:szCs w:val="24"/>
        </w:rPr>
      </w:pPr>
      <w:r w:rsidRPr="0026634A">
        <w:rPr>
          <w:rFonts w:asciiTheme="majorHAnsi" w:hAnsiTheme="majorHAnsi" w:cstheme="majorHAnsi"/>
          <w:sz w:val="24"/>
          <w:szCs w:val="24"/>
        </w:rPr>
        <w:t xml:space="preserve">The York Local Offer site </w:t>
      </w:r>
      <w:r w:rsidR="004042E9" w:rsidRPr="0026634A">
        <w:rPr>
          <w:rFonts w:asciiTheme="majorHAnsi" w:hAnsiTheme="majorHAnsi" w:cstheme="majorHAnsi"/>
          <w:sz w:val="24"/>
          <w:szCs w:val="24"/>
        </w:rPr>
        <w:t xml:space="preserve">includes a directory of external websites such as Changing Places and </w:t>
      </w:r>
      <w:proofErr w:type="spellStart"/>
      <w:r w:rsidR="004042E9" w:rsidRPr="0026634A">
        <w:rPr>
          <w:rFonts w:asciiTheme="majorHAnsi" w:hAnsiTheme="majorHAnsi" w:cstheme="majorHAnsi"/>
          <w:sz w:val="24"/>
          <w:szCs w:val="24"/>
        </w:rPr>
        <w:t>AccessAble</w:t>
      </w:r>
      <w:proofErr w:type="spellEnd"/>
      <w:r w:rsidR="004042E9" w:rsidRPr="0026634A">
        <w:rPr>
          <w:rFonts w:asciiTheme="majorHAnsi" w:hAnsiTheme="majorHAnsi" w:cstheme="majorHAnsi"/>
          <w:sz w:val="24"/>
          <w:szCs w:val="24"/>
        </w:rPr>
        <w:t xml:space="preserve"> who collate information on accessibility of venues and disabled access toilets</w:t>
      </w:r>
      <w:r w:rsidRPr="0026634A">
        <w:rPr>
          <w:rFonts w:asciiTheme="majorHAnsi" w:hAnsiTheme="majorHAnsi" w:cstheme="majorHAnsi"/>
          <w:sz w:val="24"/>
          <w:szCs w:val="24"/>
        </w:rPr>
        <w:t xml:space="preserve">, provides an application portal for the </w:t>
      </w:r>
      <w:proofErr w:type="spellStart"/>
      <w:r w:rsidRPr="0026634A">
        <w:rPr>
          <w:rFonts w:asciiTheme="majorHAnsi" w:hAnsiTheme="majorHAnsi" w:cstheme="majorHAnsi"/>
          <w:sz w:val="24"/>
          <w:szCs w:val="24"/>
        </w:rPr>
        <w:t>MAXCard</w:t>
      </w:r>
      <w:proofErr w:type="spellEnd"/>
      <w:r w:rsidRPr="0026634A">
        <w:rPr>
          <w:rFonts w:asciiTheme="majorHAnsi" w:hAnsiTheme="majorHAnsi" w:cstheme="majorHAnsi"/>
          <w:sz w:val="24"/>
          <w:szCs w:val="24"/>
        </w:rPr>
        <w:t xml:space="preserve"> and other helpful advice.</w:t>
      </w:r>
      <w:r w:rsidR="004042E9" w:rsidRPr="0026634A">
        <w:rPr>
          <w:rFonts w:asciiTheme="majorHAnsi" w:hAnsiTheme="majorHAnsi" w:cstheme="majorHAnsi"/>
          <w:sz w:val="24"/>
          <w:szCs w:val="24"/>
        </w:rPr>
        <w:t xml:space="preserve"> </w:t>
      </w:r>
    </w:p>
    <w:p w14:paraId="745CEA99" w14:textId="7DE37C3C" w:rsidR="0026634A" w:rsidRPr="0026634A" w:rsidRDefault="0026634A" w:rsidP="009759CD">
      <w:pPr>
        <w:rPr>
          <w:rFonts w:asciiTheme="majorHAnsi" w:hAnsiTheme="majorHAnsi" w:cstheme="majorHAnsi"/>
          <w:sz w:val="24"/>
          <w:szCs w:val="24"/>
        </w:rPr>
      </w:pPr>
      <w:r w:rsidRPr="0026634A">
        <w:rPr>
          <w:rFonts w:asciiTheme="majorHAnsi" w:hAnsiTheme="majorHAnsi" w:cstheme="majorHAnsi"/>
          <w:sz w:val="24"/>
          <w:szCs w:val="24"/>
        </w:rPr>
        <w:t>The Family Information Service monitor</w:t>
      </w:r>
      <w:r w:rsidR="003910BC">
        <w:rPr>
          <w:rFonts w:asciiTheme="majorHAnsi" w:hAnsiTheme="majorHAnsi" w:cstheme="majorHAnsi"/>
          <w:sz w:val="24"/>
          <w:szCs w:val="24"/>
        </w:rPr>
        <w:t>s</w:t>
      </w:r>
      <w:r w:rsidRPr="0026634A">
        <w:rPr>
          <w:rFonts w:asciiTheme="majorHAnsi" w:hAnsiTheme="majorHAnsi" w:cstheme="majorHAnsi"/>
          <w:sz w:val="24"/>
          <w:szCs w:val="24"/>
        </w:rPr>
        <w:t xml:space="preserve"> use of the Local Site; Figure 9 is produced by the service and shows a highly variable but increasing rate of traffic to the site. </w:t>
      </w:r>
    </w:p>
    <w:p w14:paraId="588D9494" w14:textId="77777777" w:rsidR="00B74160" w:rsidRDefault="00B74160" w:rsidP="00B74160">
      <w:pPr>
        <w:keepNext/>
        <w:jc w:val="center"/>
      </w:pPr>
      <w:r>
        <w:rPr>
          <w:noProof/>
        </w:rPr>
        <w:lastRenderedPageBreak/>
        <w:drawing>
          <wp:inline distT="0" distB="0" distL="0" distR="0" wp14:anchorId="57E5E322" wp14:editId="29477C4D">
            <wp:extent cx="5403850" cy="2917826"/>
            <wp:effectExtent l="0" t="0" r="6350" b="15875"/>
            <wp:docPr id="21" name="Chart 21">
              <a:extLst xmlns:a="http://schemas.openxmlformats.org/drawingml/2006/main">
                <a:ext uri="{FF2B5EF4-FFF2-40B4-BE49-F238E27FC236}">
                  <a16:creationId xmlns:a16="http://schemas.microsoft.com/office/drawing/2014/main" id="{04E77148-1998-4F88-A7A7-E006A5C416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0A1D25" w14:textId="408F4E2E" w:rsidR="00B74160" w:rsidRPr="005F5B2C" w:rsidRDefault="00B74160" w:rsidP="00B74160">
      <w:pPr>
        <w:pStyle w:val="Caption"/>
      </w:pPr>
      <w:r>
        <w:t xml:space="preserve">Figure </w:t>
      </w:r>
      <w:r w:rsidR="00D17F76">
        <w:fldChar w:fldCharType="begin"/>
      </w:r>
      <w:r w:rsidR="00D17F76">
        <w:instrText xml:space="preserve"> SEQ Figure \* ARABIC </w:instrText>
      </w:r>
      <w:r w:rsidR="00D17F76">
        <w:fldChar w:fldCharType="separate"/>
      </w:r>
      <w:r>
        <w:rPr>
          <w:noProof/>
        </w:rPr>
        <w:t>9</w:t>
      </w:r>
      <w:r w:rsidR="00D17F76">
        <w:rPr>
          <w:noProof/>
        </w:rPr>
        <w:fldChar w:fldCharType="end"/>
      </w:r>
      <w:r>
        <w:t>: City of York, local offer page views (local data)</w:t>
      </w:r>
    </w:p>
    <w:p w14:paraId="3FB6BDD3" w14:textId="22380903" w:rsidR="00D75631" w:rsidRPr="0026634A" w:rsidRDefault="0026634A" w:rsidP="0026634A">
      <w:pPr>
        <w:rPr>
          <w:rFonts w:asciiTheme="majorHAnsi" w:hAnsiTheme="majorHAnsi" w:cstheme="majorHAnsi"/>
          <w:sz w:val="24"/>
          <w:szCs w:val="24"/>
        </w:rPr>
      </w:pPr>
      <w:r w:rsidRPr="0026634A">
        <w:rPr>
          <w:sz w:val="24"/>
          <w:szCs w:val="24"/>
        </w:rPr>
        <w:t>Figure 10 shows the top pages accessed.</w:t>
      </w:r>
    </w:p>
    <w:p w14:paraId="26A61A03" w14:textId="77777777" w:rsidR="0026634A" w:rsidRPr="0026634A" w:rsidRDefault="0026634A" w:rsidP="0026634A"/>
    <w:p w14:paraId="0495446E" w14:textId="77777777" w:rsidR="00B74160" w:rsidRDefault="00B74160" w:rsidP="00B74160">
      <w:pPr>
        <w:keepNext/>
      </w:pPr>
      <w:r>
        <w:rPr>
          <w:noProof/>
        </w:rPr>
        <mc:AlternateContent>
          <mc:Choice Requires="cx1">
            <w:drawing>
              <wp:inline distT="0" distB="0" distL="0" distR="0" wp14:anchorId="62B0FB14" wp14:editId="3A9D08DB">
                <wp:extent cx="5187950" cy="2952750"/>
                <wp:effectExtent l="0" t="0" r="12700" b="0"/>
                <wp:docPr id="22" name="Chart 22">
                  <a:extLst xmlns:a="http://schemas.openxmlformats.org/drawingml/2006/main">
                    <a:ext uri="{FF2B5EF4-FFF2-40B4-BE49-F238E27FC236}">
                      <a16:creationId xmlns:a16="http://schemas.microsoft.com/office/drawing/2014/main" id="{E42FCB9D-B8A0-49E4-BAEE-F53CE4A17EA5}"/>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8"/>
                  </a:graphicData>
                </a:graphic>
              </wp:inline>
            </w:drawing>
          </mc:Choice>
          <mc:Fallback>
            <w:drawing>
              <wp:inline distT="0" distB="0" distL="0" distR="0" wp14:anchorId="62B0FB14" wp14:editId="3A9D08DB">
                <wp:extent cx="5187950" cy="2952750"/>
                <wp:effectExtent l="0" t="0" r="12700" b="0"/>
                <wp:docPr id="22" name="Chart 22">
                  <a:extLst xmlns:a="http://schemas.openxmlformats.org/drawingml/2006/main">
                    <a:ext uri="{FF2B5EF4-FFF2-40B4-BE49-F238E27FC236}">
                      <a16:creationId xmlns:a16="http://schemas.microsoft.com/office/drawing/2014/main" id="{E42FCB9D-B8A0-49E4-BAEE-F53CE4A17EA5}"/>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2" name="Chart 22">
                          <a:extLst>
                            <a:ext uri="{FF2B5EF4-FFF2-40B4-BE49-F238E27FC236}">
                              <a16:creationId xmlns:a16="http://schemas.microsoft.com/office/drawing/2014/main" id="{E42FCB9D-B8A0-49E4-BAEE-F53CE4A17EA5}"/>
                            </a:ext>
                          </a:extLst>
                        </pic:cNvPr>
                        <pic:cNvPicPr>
                          <a:picLocks noGrp="1" noRot="1" noChangeAspect="1" noMove="1" noResize="1" noEditPoints="1" noAdjustHandles="1" noChangeArrowheads="1" noChangeShapeType="1"/>
                        </pic:cNvPicPr>
                      </pic:nvPicPr>
                      <pic:blipFill>
                        <a:blip r:embed="rId19"/>
                        <a:stretch>
                          <a:fillRect/>
                        </a:stretch>
                      </pic:blipFill>
                      <pic:spPr>
                        <a:xfrm>
                          <a:off x="0" y="0"/>
                          <a:ext cx="5187950" cy="2952750"/>
                        </a:xfrm>
                        <a:prstGeom prst="rect">
                          <a:avLst/>
                        </a:prstGeom>
                      </pic:spPr>
                    </pic:pic>
                  </a:graphicData>
                </a:graphic>
              </wp:inline>
            </w:drawing>
          </mc:Fallback>
        </mc:AlternateContent>
      </w:r>
    </w:p>
    <w:p w14:paraId="3D63C849" w14:textId="0D790A57" w:rsidR="00B74160" w:rsidRPr="00B74160" w:rsidRDefault="00B74160" w:rsidP="00B74160">
      <w:pPr>
        <w:pStyle w:val="Caption"/>
      </w:pPr>
      <w:r>
        <w:t xml:space="preserve">Figure </w:t>
      </w:r>
      <w:r w:rsidR="00D17F76">
        <w:fldChar w:fldCharType="begin"/>
      </w:r>
      <w:r w:rsidR="00D17F76">
        <w:instrText xml:space="preserve"> SEQ Figure \* ARABIC </w:instrText>
      </w:r>
      <w:r w:rsidR="00D17F76">
        <w:fldChar w:fldCharType="separate"/>
      </w:r>
      <w:r>
        <w:rPr>
          <w:noProof/>
        </w:rPr>
        <w:t>10</w:t>
      </w:r>
      <w:r w:rsidR="00D17F76">
        <w:rPr>
          <w:noProof/>
        </w:rPr>
        <w:fldChar w:fldCharType="end"/>
      </w:r>
      <w:r>
        <w:t>: Top 10 site pages (local data)</w:t>
      </w:r>
    </w:p>
    <w:p w14:paraId="771196A2" w14:textId="568CAB4A" w:rsidR="00A673F7" w:rsidRDefault="0026634A" w:rsidP="00B74160">
      <w:pPr>
        <w:rPr>
          <w:rFonts w:asciiTheme="majorHAnsi" w:hAnsiTheme="majorHAnsi" w:cstheme="majorHAnsi"/>
          <w:sz w:val="24"/>
          <w:szCs w:val="24"/>
        </w:rPr>
      </w:pPr>
      <w:r w:rsidRPr="00A673F7">
        <w:rPr>
          <w:rFonts w:asciiTheme="majorHAnsi" w:hAnsiTheme="majorHAnsi" w:cstheme="majorHAnsi"/>
          <w:sz w:val="24"/>
          <w:szCs w:val="24"/>
        </w:rPr>
        <w:t>The website is supported</w:t>
      </w:r>
      <w:r w:rsidR="00A673F7">
        <w:rPr>
          <w:rFonts w:asciiTheme="majorHAnsi" w:hAnsiTheme="majorHAnsi" w:cstheme="majorHAnsi"/>
          <w:sz w:val="24"/>
          <w:szCs w:val="24"/>
        </w:rPr>
        <w:t xml:space="preserve"> with social media promotion on Facebook and </w:t>
      </w:r>
      <w:proofErr w:type="gramStart"/>
      <w:r w:rsidR="00A673F7">
        <w:rPr>
          <w:rFonts w:asciiTheme="majorHAnsi" w:hAnsiTheme="majorHAnsi" w:cstheme="majorHAnsi"/>
          <w:sz w:val="24"/>
          <w:szCs w:val="24"/>
        </w:rPr>
        <w:t>Twitter</w:t>
      </w:r>
      <w:proofErr w:type="gramEnd"/>
      <w:r w:rsidR="00A673F7">
        <w:rPr>
          <w:rFonts w:asciiTheme="majorHAnsi" w:hAnsiTheme="majorHAnsi" w:cstheme="majorHAnsi"/>
          <w:sz w:val="24"/>
          <w:szCs w:val="24"/>
        </w:rPr>
        <w:t xml:space="preserve"> and it                  </w:t>
      </w:r>
      <w:r w:rsidR="003910BC">
        <w:rPr>
          <w:rFonts w:asciiTheme="majorHAnsi" w:hAnsiTheme="majorHAnsi" w:cstheme="majorHAnsi"/>
          <w:sz w:val="24"/>
          <w:szCs w:val="24"/>
        </w:rPr>
        <w:t xml:space="preserve">is </w:t>
      </w:r>
      <w:r w:rsidR="00A673F7">
        <w:rPr>
          <w:rFonts w:asciiTheme="majorHAnsi" w:hAnsiTheme="majorHAnsi" w:cstheme="majorHAnsi"/>
          <w:sz w:val="24"/>
          <w:szCs w:val="24"/>
        </w:rPr>
        <w:t>frequently the source of traffic</w:t>
      </w:r>
      <w:r w:rsidR="003910BC">
        <w:rPr>
          <w:rFonts w:asciiTheme="majorHAnsi" w:hAnsiTheme="majorHAnsi" w:cstheme="majorHAnsi"/>
          <w:sz w:val="24"/>
          <w:szCs w:val="24"/>
        </w:rPr>
        <w:t xml:space="preserve"> to the site</w:t>
      </w:r>
      <w:r w:rsidR="00A673F7">
        <w:rPr>
          <w:rFonts w:asciiTheme="majorHAnsi" w:hAnsiTheme="majorHAnsi" w:cstheme="majorHAnsi"/>
          <w:sz w:val="24"/>
          <w:szCs w:val="24"/>
        </w:rPr>
        <w:t xml:space="preserve">. The FIS team’s own next steps following their analysis are: </w:t>
      </w:r>
    </w:p>
    <w:p w14:paraId="457EFB45" w14:textId="77777777" w:rsidR="00A673F7" w:rsidRPr="00A673F7" w:rsidRDefault="00A673F7" w:rsidP="00A673F7">
      <w:pPr>
        <w:pStyle w:val="ListParagraph"/>
        <w:numPr>
          <w:ilvl w:val="0"/>
          <w:numId w:val="7"/>
        </w:numPr>
        <w:rPr>
          <w:rFonts w:asciiTheme="majorHAnsi" w:hAnsiTheme="majorHAnsi" w:cstheme="majorHAnsi"/>
          <w:sz w:val="24"/>
          <w:szCs w:val="24"/>
        </w:rPr>
      </w:pPr>
      <w:r w:rsidRPr="00A673F7">
        <w:rPr>
          <w:rFonts w:asciiTheme="majorHAnsi" w:hAnsiTheme="majorHAnsi" w:cstheme="majorHAnsi"/>
          <w:sz w:val="24"/>
          <w:szCs w:val="24"/>
        </w:rPr>
        <w:t>To improve communications around the Local Offer to continue rise in views and usage</w:t>
      </w:r>
    </w:p>
    <w:p w14:paraId="337A7124" w14:textId="1F6CF7DD" w:rsidR="00A673F7" w:rsidRPr="00A673F7" w:rsidRDefault="00A673F7" w:rsidP="00A673F7">
      <w:pPr>
        <w:pStyle w:val="ListParagraph"/>
        <w:numPr>
          <w:ilvl w:val="0"/>
          <w:numId w:val="7"/>
        </w:numPr>
        <w:rPr>
          <w:rFonts w:asciiTheme="majorHAnsi" w:hAnsiTheme="majorHAnsi" w:cstheme="majorHAnsi"/>
          <w:sz w:val="24"/>
          <w:szCs w:val="24"/>
        </w:rPr>
      </w:pPr>
      <w:r w:rsidRPr="00A673F7">
        <w:rPr>
          <w:rFonts w:asciiTheme="majorHAnsi" w:hAnsiTheme="majorHAnsi" w:cstheme="majorHAnsi"/>
          <w:sz w:val="24"/>
          <w:szCs w:val="24"/>
        </w:rPr>
        <w:t xml:space="preserve">Continue use of </w:t>
      </w:r>
      <w:r w:rsidR="003910BC">
        <w:rPr>
          <w:rFonts w:asciiTheme="majorHAnsi" w:hAnsiTheme="majorHAnsi" w:cstheme="majorHAnsi"/>
          <w:sz w:val="24"/>
          <w:szCs w:val="24"/>
        </w:rPr>
        <w:t>s</w:t>
      </w:r>
      <w:r w:rsidRPr="00A673F7">
        <w:rPr>
          <w:rFonts w:asciiTheme="majorHAnsi" w:hAnsiTheme="majorHAnsi" w:cstheme="majorHAnsi"/>
          <w:sz w:val="24"/>
          <w:szCs w:val="24"/>
        </w:rPr>
        <w:t xml:space="preserve">ocial </w:t>
      </w:r>
      <w:r w:rsidR="003910BC">
        <w:rPr>
          <w:rFonts w:asciiTheme="majorHAnsi" w:hAnsiTheme="majorHAnsi" w:cstheme="majorHAnsi"/>
          <w:sz w:val="24"/>
          <w:szCs w:val="24"/>
        </w:rPr>
        <w:t>m</w:t>
      </w:r>
      <w:r w:rsidRPr="00A673F7">
        <w:rPr>
          <w:rFonts w:asciiTheme="majorHAnsi" w:hAnsiTheme="majorHAnsi" w:cstheme="majorHAnsi"/>
          <w:sz w:val="24"/>
          <w:szCs w:val="24"/>
        </w:rPr>
        <w:t>edia to signpost – but link to specific pages that could be useful to families</w:t>
      </w:r>
    </w:p>
    <w:p w14:paraId="7B533B34" w14:textId="66B2C0C7" w:rsidR="00A673F7" w:rsidRPr="00A673F7" w:rsidRDefault="00A673F7" w:rsidP="00A673F7">
      <w:pPr>
        <w:pStyle w:val="ListParagraph"/>
        <w:numPr>
          <w:ilvl w:val="0"/>
          <w:numId w:val="7"/>
        </w:numPr>
        <w:rPr>
          <w:rFonts w:asciiTheme="majorHAnsi" w:hAnsiTheme="majorHAnsi" w:cstheme="majorHAnsi"/>
          <w:sz w:val="24"/>
          <w:szCs w:val="24"/>
        </w:rPr>
      </w:pPr>
      <w:r w:rsidRPr="00A673F7">
        <w:rPr>
          <w:rFonts w:asciiTheme="majorHAnsi" w:hAnsiTheme="majorHAnsi" w:cstheme="majorHAnsi"/>
          <w:sz w:val="24"/>
          <w:szCs w:val="24"/>
        </w:rPr>
        <w:lastRenderedPageBreak/>
        <w:t>Identify with focus group</w:t>
      </w:r>
      <w:r w:rsidR="003910BC">
        <w:rPr>
          <w:rFonts w:asciiTheme="majorHAnsi" w:hAnsiTheme="majorHAnsi" w:cstheme="majorHAnsi"/>
          <w:sz w:val="24"/>
          <w:szCs w:val="24"/>
        </w:rPr>
        <w:t>s</w:t>
      </w:r>
      <w:r w:rsidRPr="00A673F7">
        <w:rPr>
          <w:rFonts w:asciiTheme="majorHAnsi" w:hAnsiTheme="majorHAnsi" w:cstheme="majorHAnsi"/>
          <w:sz w:val="24"/>
          <w:szCs w:val="24"/>
        </w:rPr>
        <w:t xml:space="preserve"> why families are not staying on the site once they have arrived and how we can reduce this bounce back data</w:t>
      </w:r>
    </w:p>
    <w:p w14:paraId="431344E2" w14:textId="77777777" w:rsidR="00A673F7" w:rsidRPr="00A673F7" w:rsidRDefault="00A673F7" w:rsidP="00A673F7">
      <w:pPr>
        <w:pStyle w:val="ListParagraph"/>
        <w:numPr>
          <w:ilvl w:val="0"/>
          <w:numId w:val="7"/>
        </w:numPr>
        <w:rPr>
          <w:rFonts w:asciiTheme="majorHAnsi" w:hAnsiTheme="majorHAnsi" w:cstheme="majorHAnsi"/>
          <w:sz w:val="24"/>
          <w:szCs w:val="24"/>
        </w:rPr>
      </w:pPr>
      <w:r w:rsidRPr="00A673F7">
        <w:rPr>
          <w:rFonts w:asciiTheme="majorHAnsi" w:hAnsiTheme="majorHAnsi" w:cstheme="majorHAnsi"/>
          <w:sz w:val="24"/>
          <w:szCs w:val="24"/>
        </w:rPr>
        <w:t>Continue to make accessibility improvements</w:t>
      </w:r>
    </w:p>
    <w:p w14:paraId="554669D7" w14:textId="77777777" w:rsidR="00A673F7" w:rsidRPr="00A673F7" w:rsidRDefault="00A673F7" w:rsidP="00A673F7">
      <w:pPr>
        <w:pStyle w:val="ListParagraph"/>
        <w:numPr>
          <w:ilvl w:val="0"/>
          <w:numId w:val="7"/>
        </w:numPr>
        <w:rPr>
          <w:rFonts w:asciiTheme="majorHAnsi" w:hAnsiTheme="majorHAnsi" w:cstheme="majorHAnsi"/>
          <w:sz w:val="24"/>
          <w:szCs w:val="24"/>
        </w:rPr>
      </w:pPr>
      <w:r w:rsidRPr="00A673F7">
        <w:rPr>
          <w:rFonts w:asciiTheme="majorHAnsi" w:hAnsiTheme="majorHAnsi" w:cstheme="majorHAnsi"/>
          <w:sz w:val="24"/>
          <w:szCs w:val="24"/>
        </w:rPr>
        <w:t>Continue to work with parent focus groups to make appropriate changes to navigation</w:t>
      </w:r>
    </w:p>
    <w:p w14:paraId="3FD9E3E1" w14:textId="5F6A611A" w:rsidR="00B74160" w:rsidRPr="00A673F7" w:rsidRDefault="00B74160" w:rsidP="00A673F7">
      <w:pPr>
        <w:pStyle w:val="ListParagraph"/>
        <w:ind w:left="770"/>
        <w:rPr>
          <w:rFonts w:asciiTheme="majorHAnsi" w:hAnsiTheme="majorHAnsi" w:cstheme="majorHAnsi"/>
          <w:sz w:val="24"/>
          <w:szCs w:val="24"/>
        </w:rPr>
      </w:pPr>
    </w:p>
    <w:tbl>
      <w:tblPr>
        <w:tblStyle w:val="TableGrid"/>
        <w:tblW w:w="0" w:type="auto"/>
        <w:tblInd w:w="720" w:type="dxa"/>
        <w:tblLook w:val="04A0" w:firstRow="1" w:lastRow="0" w:firstColumn="1" w:lastColumn="0" w:noHBand="0" w:noVBand="1"/>
      </w:tblPr>
      <w:tblGrid>
        <w:gridCol w:w="8296"/>
      </w:tblGrid>
      <w:tr w:rsidR="0033105D" w14:paraId="37F5A5CF" w14:textId="77777777" w:rsidTr="00E93A64">
        <w:tc>
          <w:tcPr>
            <w:tcW w:w="9016" w:type="dxa"/>
          </w:tcPr>
          <w:p w14:paraId="2267914D" w14:textId="095751D9" w:rsidR="0033105D" w:rsidRDefault="0033105D" w:rsidP="00E93A64">
            <w:pPr>
              <w:pStyle w:val="ListParagraph"/>
              <w:ind w:left="0"/>
              <w:rPr>
                <w:rFonts w:asciiTheme="majorHAnsi" w:hAnsiTheme="majorHAnsi" w:cstheme="majorHAnsi"/>
                <w:sz w:val="24"/>
              </w:rPr>
            </w:pPr>
            <w:r>
              <w:rPr>
                <w:rFonts w:asciiTheme="majorHAnsi" w:hAnsiTheme="majorHAnsi" w:cstheme="majorHAnsi"/>
                <w:sz w:val="24"/>
              </w:rPr>
              <w:t>Recommendation:</w:t>
            </w:r>
          </w:p>
          <w:p w14:paraId="75EBA528" w14:textId="31B2527B" w:rsidR="00A673F7" w:rsidRDefault="00A673F7" w:rsidP="00E93A64">
            <w:pPr>
              <w:pStyle w:val="ListParagraph"/>
              <w:ind w:left="0"/>
              <w:rPr>
                <w:rFonts w:asciiTheme="majorHAnsi" w:hAnsiTheme="majorHAnsi" w:cstheme="majorHAnsi"/>
                <w:sz w:val="24"/>
              </w:rPr>
            </w:pPr>
            <w:r>
              <w:rPr>
                <w:rFonts w:asciiTheme="majorHAnsi" w:hAnsiTheme="majorHAnsi" w:cstheme="majorHAnsi"/>
                <w:sz w:val="24"/>
              </w:rPr>
              <w:t xml:space="preserve">Support FIS </w:t>
            </w:r>
            <w:r w:rsidR="002A371A">
              <w:rPr>
                <w:rFonts w:asciiTheme="majorHAnsi" w:hAnsiTheme="majorHAnsi" w:cstheme="majorHAnsi"/>
                <w:sz w:val="24"/>
              </w:rPr>
              <w:t>to implement their actions.</w:t>
            </w:r>
          </w:p>
          <w:p w14:paraId="7A3E0292" w14:textId="77777777" w:rsidR="0033105D" w:rsidRDefault="0033105D" w:rsidP="00E93A64">
            <w:pPr>
              <w:pStyle w:val="ListParagraph"/>
              <w:ind w:left="0"/>
              <w:rPr>
                <w:rFonts w:asciiTheme="majorHAnsi" w:hAnsiTheme="majorHAnsi" w:cstheme="majorHAnsi"/>
                <w:sz w:val="24"/>
              </w:rPr>
            </w:pPr>
          </w:p>
        </w:tc>
      </w:tr>
    </w:tbl>
    <w:p w14:paraId="609D211D" w14:textId="77777777" w:rsidR="00D75631" w:rsidRPr="00D75631" w:rsidRDefault="00D75631" w:rsidP="00D75631">
      <w:pPr>
        <w:pStyle w:val="ListParagraph"/>
        <w:rPr>
          <w:rFonts w:asciiTheme="majorHAnsi" w:hAnsiTheme="majorHAnsi" w:cstheme="majorHAnsi"/>
          <w:b/>
          <w:sz w:val="24"/>
        </w:rPr>
      </w:pPr>
    </w:p>
    <w:p w14:paraId="070C5119" w14:textId="18DF6C1E" w:rsidR="00C457A5" w:rsidRPr="0022271E" w:rsidRDefault="00C457A5" w:rsidP="00921736">
      <w:pPr>
        <w:pStyle w:val="Heading1"/>
      </w:pPr>
      <w:bookmarkStart w:id="12" w:name="_Toc111469670"/>
      <w:r w:rsidRPr="00921736">
        <w:t>Health</w:t>
      </w:r>
      <w:r w:rsidR="00DA5809" w:rsidRPr="00921736">
        <w:t xml:space="preserve"> overlap and education need overlap</w:t>
      </w:r>
      <w:bookmarkEnd w:id="12"/>
      <w:r w:rsidR="00DA5809" w:rsidRPr="0022271E">
        <w:t xml:space="preserve">  </w:t>
      </w:r>
      <w:r w:rsidRPr="0022271E">
        <w:t xml:space="preserve"> </w:t>
      </w:r>
    </w:p>
    <w:p w14:paraId="19F547F2" w14:textId="2EFFC43F" w:rsidR="005E0B49" w:rsidRDefault="00752BF9" w:rsidP="005F5B2C">
      <w:pPr>
        <w:pStyle w:val="Heading3"/>
      </w:pPr>
      <w:bookmarkStart w:id="13" w:name="_Toc111469671"/>
      <w:r w:rsidRPr="005F5B2C">
        <w:t xml:space="preserve">National prevalence of disability and </w:t>
      </w:r>
      <w:r w:rsidR="00A11A9E" w:rsidRPr="005F5B2C">
        <w:t>long-term</w:t>
      </w:r>
      <w:r w:rsidRPr="005F5B2C">
        <w:t xml:space="preserve"> conditions in childhood</w:t>
      </w:r>
      <w:bookmarkEnd w:id="13"/>
    </w:p>
    <w:p w14:paraId="59441B15" w14:textId="281D5709" w:rsidR="00D504D7" w:rsidRPr="00D504D7" w:rsidRDefault="00534A10" w:rsidP="009759CD">
      <w:pPr>
        <w:pStyle w:val="NoSpacing"/>
        <w:rPr>
          <w:rFonts w:asciiTheme="majorHAnsi" w:hAnsiTheme="majorHAnsi" w:cstheme="majorHAnsi"/>
          <w:sz w:val="24"/>
          <w:szCs w:val="24"/>
        </w:rPr>
      </w:pPr>
      <w:r w:rsidRPr="00D504D7">
        <w:rPr>
          <w:rFonts w:asciiTheme="majorHAnsi" w:hAnsiTheme="majorHAnsi" w:cstheme="majorHAnsi"/>
          <w:sz w:val="24"/>
          <w:szCs w:val="24"/>
        </w:rPr>
        <w:t>Across all ages, there are 14.3 million disabled people and 51.5 million non-disabled people in the UK</w:t>
      </w:r>
      <w:r w:rsidR="00A11A9E">
        <w:rPr>
          <w:rFonts w:asciiTheme="majorHAnsi" w:hAnsiTheme="majorHAnsi" w:cstheme="majorHAnsi"/>
          <w:sz w:val="24"/>
          <w:szCs w:val="24"/>
        </w:rPr>
        <w:t xml:space="preserve"> (Table 2)</w:t>
      </w:r>
      <w:r w:rsidRPr="00D504D7">
        <w:rPr>
          <w:rFonts w:asciiTheme="majorHAnsi" w:hAnsiTheme="majorHAnsi" w:cstheme="majorHAnsi"/>
          <w:sz w:val="24"/>
          <w:szCs w:val="24"/>
        </w:rPr>
        <w:t>. This equates to 21.7% of the population as having a disability. Across young people aged 15-24, there are 1 million disabled people and 6.6 million non-disabled people, which means disabled people make up 13.2% of this age group</w:t>
      </w:r>
      <w:r w:rsidR="009D033C" w:rsidRPr="00D504D7">
        <w:rPr>
          <w:rFonts w:asciiTheme="majorHAnsi" w:hAnsiTheme="majorHAnsi" w:cstheme="majorHAnsi"/>
          <w:sz w:val="24"/>
          <w:szCs w:val="24"/>
        </w:rPr>
        <w:t>. There is a</w:t>
      </w:r>
      <w:r w:rsidRPr="00D504D7">
        <w:rPr>
          <w:rFonts w:asciiTheme="majorHAnsi" w:hAnsiTheme="majorHAnsi" w:cstheme="majorHAnsi"/>
          <w:sz w:val="24"/>
          <w:szCs w:val="24"/>
        </w:rPr>
        <w:t xml:space="preserve"> slight variation between males and females, 12.8% of males and 13.5% of females being disabled</w:t>
      </w:r>
      <w:r w:rsidR="009D033C" w:rsidRPr="00D504D7">
        <w:rPr>
          <w:rFonts w:asciiTheme="majorHAnsi" w:hAnsiTheme="majorHAnsi" w:cstheme="majorHAnsi"/>
          <w:sz w:val="24"/>
          <w:szCs w:val="24"/>
        </w:rPr>
        <w:t xml:space="preserve"> in the 15-24 age range</w:t>
      </w:r>
      <w:r w:rsidRPr="00D504D7">
        <w:rPr>
          <w:rFonts w:asciiTheme="majorHAnsi" w:hAnsiTheme="majorHAnsi" w:cstheme="majorHAnsi"/>
          <w:sz w:val="24"/>
          <w:szCs w:val="24"/>
        </w:rPr>
        <w:t xml:space="preserve">.  </w:t>
      </w:r>
    </w:p>
    <w:p w14:paraId="6888DC83" w14:textId="77777777" w:rsidR="00D504D7" w:rsidRDefault="00D504D7" w:rsidP="00D504D7">
      <w:pPr>
        <w:pStyle w:val="Caption"/>
        <w:keepNext/>
      </w:pPr>
    </w:p>
    <w:p w14:paraId="24CFDC8E" w14:textId="070BBE1C" w:rsidR="00D504D7" w:rsidRDefault="00D504D7" w:rsidP="00D504D7">
      <w:pPr>
        <w:pStyle w:val="Caption"/>
        <w:keepNext/>
      </w:pPr>
      <w:r>
        <w:t xml:space="preserve">Table </w:t>
      </w:r>
      <w:r w:rsidR="00D17F76">
        <w:fldChar w:fldCharType="begin"/>
      </w:r>
      <w:r w:rsidR="00D17F76">
        <w:instrText xml:space="preserve"> SEQ Table \* ARABIC </w:instrText>
      </w:r>
      <w:r w:rsidR="00D17F76">
        <w:fldChar w:fldCharType="separate"/>
      </w:r>
      <w:r>
        <w:rPr>
          <w:noProof/>
        </w:rPr>
        <w:t>2</w:t>
      </w:r>
      <w:r w:rsidR="00D17F76">
        <w:rPr>
          <w:noProof/>
        </w:rPr>
        <w:fldChar w:fldCharType="end"/>
      </w:r>
      <w:r>
        <w:t>: Disability Prevalence by age and gender, average of 2018/19, 2019/20 and 2020/21, UK</w:t>
      </w:r>
    </w:p>
    <w:p w14:paraId="7E8FCD59" w14:textId="7B5A7B96" w:rsidR="00752BF9" w:rsidRDefault="005E0B49" w:rsidP="009759CD">
      <w:pPr>
        <w:pStyle w:val="NoSpacing"/>
      </w:pPr>
      <w:r w:rsidRPr="005E0B49">
        <w:rPr>
          <w:noProof/>
        </w:rPr>
        <w:drawing>
          <wp:inline distT="0" distB="0" distL="0" distR="0" wp14:anchorId="54CD61EF" wp14:editId="4032C5B5">
            <wp:extent cx="5731510" cy="208407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084070"/>
                    </a:xfrm>
                    <a:prstGeom prst="rect">
                      <a:avLst/>
                    </a:prstGeom>
                    <a:noFill/>
                    <a:ln>
                      <a:noFill/>
                    </a:ln>
                  </pic:spPr>
                </pic:pic>
              </a:graphicData>
            </a:graphic>
          </wp:inline>
        </w:drawing>
      </w:r>
    </w:p>
    <w:p w14:paraId="0063B4AA" w14:textId="77777777" w:rsidR="00D504D7" w:rsidRDefault="00D504D7" w:rsidP="00792D4D"/>
    <w:p w14:paraId="1E88B6FC" w14:textId="729A8B99" w:rsidR="00792D4D" w:rsidRPr="00A11A9E" w:rsidRDefault="00792D4D" w:rsidP="00792D4D">
      <w:pPr>
        <w:rPr>
          <w:rFonts w:asciiTheme="majorHAnsi" w:hAnsiTheme="majorHAnsi" w:cstheme="majorHAnsi"/>
          <w:sz w:val="24"/>
          <w:szCs w:val="24"/>
        </w:rPr>
      </w:pPr>
      <w:r w:rsidRPr="00A11A9E">
        <w:rPr>
          <w:rFonts w:asciiTheme="majorHAnsi" w:hAnsiTheme="majorHAnsi" w:cstheme="majorHAnsi"/>
          <w:sz w:val="24"/>
          <w:szCs w:val="24"/>
        </w:rPr>
        <w:t xml:space="preserve">Within York, 12% of </w:t>
      </w:r>
      <w:r w:rsidR="00A11A9E" w:rsidRPr="00A11A9E">
        <w:rPr>
          <w:rFonts w:asciiTheme="majorHAnsi" w:hAnsiTheme="majorHAnsi" w:cstheme="majorHAnsi"/>
          <w:sz w:val="24"/>
          <w:szCs w:val="24"/>
        </w:rPr>
        <w:t>15-year-olds</w:t>
      </w:r>
      <w:r w:rsidRPr="00A11A9E">
        <w:rPr>
          <w:rFonts w:asciiTheme="majorHAnsi" w:hAnsiTheme="majorHAnsi" w:cstheme="majorHAnsi"/>
          <w:sz w:val="24"/>
          <w:szCs w:val="24"/>
        </w:rPr>
        <w:t xml:space="preserve"> have been diagnosed with a long-term illness or a disability against a regional value of 13% and an England value of 14.1%. </w:t>
      </w:r>
    </w:p>
    <w:p w14:paraId="6DC5C20B" w14:textId="06CD4C7A" w:rsidR="00C457A5" w:rsidRDefault="007C16DE" w:rsidP="005F5B2C">
      <w:pPr>
        <w:pStyle w:val="Heading3"/>
      </w:pPr>
      <w:bookmarkStart w:id="14" w:name="_Toc111469672"/>
      <w:r w:rsidRPr="005F5B2C">
        <w:t>All C</w:t>
      </w:r>
      <w:r w:rsidR="008118B3" w:rsidRPr="005F5B2C">
        <w:t>Y</w:t>
      </w:r>
      <w:r w:rsidRPr="005F5B2C">
        <w:t>P</w:t>
      </w:r>
      <w:r w:rsidR="008118B3" w:rsidRPr="005F5B2C">
        <w:t xml:space="preserve"> - </w:t>
      </w:r>
      <w:r w:rsidR="00C457A5" w:rsidRPr="005F5B2C">
        <w:t>Prevalence of health need by age groups – most common conditions</w:t>
      </w:r>
      <w:bookmarkEnd w:id="14"/>
      <w:r w:rsidR="00C457A5" w:rsidRPr="005F5B2C">
        <w:t xml:space="preserve"> </w:t>
      </w:r>
    </w:p>
    <w:p w14:paraId="2FCC4C4C" w14:textId="1A778E97" w:rsidR="009D033C" w:rsidRPr="00A11A9E" w:rsidRDefault="009D033C" w:rsidP="009759CD">
      <w:pPr>
        <w:rPr>
          <w:rFonts w:asciiTheme="majorHAnsi" w:hAnsiTheme="majorHAnsi" w:cstheme="majorHAnsi"/>
          <w:sz w:val="24"/>
          <w:szCs w:val="24"/>
        </w:rPr>
      </w:pPr>
      <w:r w:rsidRPr="00A11A9E">
        <w:rPr>
          <w:rFonts w:asciiTheme="majorHAnsi" w:hAnsiTheme="majorHAnsi" w:cstheme="majorHAnsi"/>
          <w:sz w:val="24"/>
          <w:szCs w:val="24"/>
        </w:rPr>
        <w:t xml:space="preserve">Many long-term conditions develop during childhood. Children who develop a long-term condition are more likely to develop mental health conditions, and therefore may require additional support as they move from paediatric to adult health services. Some of the most prevalent conditions include </w:t>
      </w:r>
      <w:r w:rsidR="003910BC">
        <w:rPr>
          <w:rFonts w:asciiTheme="majorHAnsi" w:hAnsiTheme="majorHAnsi" w:cstheme="majorHAnsi"/>
          <w:sz w:val="24"/>
          <w:szCs w:val="24"/>
        </w:rPr>
        <w:t>a</w:t>
      </w:r>
      <w:r w:rsidRPr="00A11A9E">
        <w:rPr>
          <w:rFonts w:asciiTheme="majorHAnsi" w:hAnsiTheme="majorHAnsi" w:cstheme="majorHAnsi"/>
          <w:sz w:val="24"/>
          <w:szCs w:val="24"/>
        </w:rPr>
        <w:t xml:space="preserve">sthma, </w:t>
      </w:r>
      <w:r w:rsidR="003910BC">
        <w:rPr>
          <w:rFonts w:asciiTheme="majorHAnsi" w:hAnsiTheme="majorHAnsi" w:cstheme="majorHAnsi"/>
          <w:sz w:val="24"/>
          <w:szCs w:val="24"/>
        </w:rPr>
        <w:t>e</w:t>
      </w:r>
      <w:r w:rsidRPr="00A11A9E">
        <w:rPr>
          <w:rFonts w:asciiTheme="majorHAnsi" w:hAnsiTheme="majorHAnsi" w:cstheme="majorHAnsi"/>
          <w:sz w:val="24"/>
          <w:szCs w:val="24"/>
        </w:rPr>
        <w:t xml:space="preserve">pilepsy, </w:t>
      </w:r>
      <w:r w:rsidR="003910BC">
        <w:rPr>
          <w:rFonts w:asciiTheme="majorHAnsi" w:hAnsiTheme="majorHAnsi" w:cstheme="majorHAnsi"/>
          <w:sz w:val="24"/>
          <w:szCs w:val="24"/>
        </w:rPr>
        <w:t>d</w:t>
      </w:r>
      <w:r w:rsidR="003910BC" w:rsidRPr="00A11A9E">
        <w:rPr>
          <w:rFonts w:asciiTheme="majorHAnsi" w:hAnsiTheme="majorHAnsi" w:cstheme="majorHAnsi"/>
          <w:sz w:val="24"/>
          <w:szCs w:val="24"/>
        </w:rPr>
        <w:t>iabetes,</w:t>
      </w:r>
      <w:r w:rsidRPr="00A11A9E">
        <w:rPr>
          <w:rFonts w:asciiTheme="majorHAnsi" w:hAnsiTheme="majorHAnsi" w:cstheme="majorHAnsi"/>
          <w:sz w:val="24"/>
          <w:szCs w:val="24"/>
        </w:rPr>
        <w:t xml:space="preserve"> and </w:t>
      </w:r>
      <w:r w:rsidR="003910BC">
        <w:rPr>
          <w:rFonts w:asciiTheme="majorHAnsi" w:hAnsiTheme="majorHAnsi" w:cstheme="majorHAnsi"/>
          <w:sz w:val="24"/>
          <w:szCs w:val="24"/>
        </w:rPr>
        <w:t>c</w:t>
      </w:r>
      <w:r w:rsidRPr="00A11A9E">
        <w:rPr>
          <w:rFonts w:asciiTheme="majorHAnsi" w:hAnsiTheme="majorHAnsi" w:cstheme="majorHAnsi"/>
          <w:sz w:val="24"/>
          <w:szCs w:val="24"/>
        </w:rPr>
        <w:t xml:space="preserve">ancer(s). </w:t>
      </w:r>
    </w:p>
    <w:p w14:paraId="0A00D087" w14:textId="75C5BCF4" w:rsidR="00A54648" w:rsidRPr="00A11A9E" w:rsidRDefault="009D033C" w:rsidP="009759CD">
      <w:pPr>
        <w:rPr>
          <w:rFonts w:asciiTheme="majorHAnsi" w:hAnsiTheme="majorHAnsi" w:cstheme="majorHAnsi"/>
          <w:sz w:val="24"/>
          <w:szCs w:val="24"/>
        </w:rPr>
      </w:pPr>
      <w:r w:rsidRPr="00A11A9E">
        <w:rPr>
          <w:rFonts w:asciiTheme="majorHAnsi" w:hAnsiTheme="majorHAnsi" w:cstheme="majorHAnsi"/>
          <w:sz w:val="24"/>
          <w:szCs w:val="24"/>
        </w:rPr>
        <w:t>Asthma is the most common long-term condition among children and young people and is one of the top ten reasons for emergency hospital admission in the UK.</w:t>
      </w:r>
      <w:r w:rsidR="00A54648" w:rsidRPr="00A11A9E">
        <w:rPr>
          <w:rFonts w:asciiTheme="majorHAnsi" w:hAnsiTheme="majorHAnsi" w:cstheme="majorHAnsi"/>
          <w:sz w:val="24"/>
          <w:szCs w:val="24"/>
        </w:rPr>
        <w:t xml:space="preserve"> There were 15 admissions in under </w:t>
      </w:r>
      <w:r w:rsidR="003910BC" w:rsidRPr="00A11A9E">
        <w:rPr>
          <w:rFonts w:asciiTheme="majorHAnsi" w:hAnsiTheme="majorHAnsi" w:cstheme="majorHAnsi"/>
          <w:sz w:val="24"/>
          <w:szCs w:val="24"/>
        </w:rPr>
        <w:t>19-year-olds</w:t>
      </w:r>
      <w:r w:rsidR="00A54648" w:rsidRPr="00A11A9E">
        <w:rPr>
          <w:rFonts w:asciiTheme="majorHAnsi" w:hAnsiTheme="majorHAnsi" w:cstheme="majorHAnsi"/>
          <w:sz w:val="24"/>
          <w:szCs w:val="24"/>
        </w:rPr>
        <w:t xml:space="preserve"> in York in the 2020/2021 year (a rate of 38.4 per 100,000) </w:t>
      </w:r>
      <w:r w:rsidR="00A54648" w:rsidRPr="00A11A9E">
        <w:rPr>
          <w:rFonts w:asciiTheme="majorHAnsi" w:hAnsiTheme="majorHAnsi" w:cstheme="majorHAnsi"/>
          <w:sz w:val="24"/>
          <w:szCs w:val="24"/>
        </w:rPr>
        <w:lastRenderedPageBreak/>
        <w:t xml:space="preserve">which is among the lowest in the region. This is significantly lower than the previous year where there were 45 admissions and is likely a result of covid pandemic. There has been a downward trend in admissions since 2017/2018. </w:t>
      </w:r>
    </w:p>
    <w:p w14:paraId="0CFB94E1" w14:textId="10F1D618" w:rsidR="009D033C" w:rsidRPr="00A11A9E" w:rsidRDefault="00A54648" w:rsidP="009759CD">
      <w:pPr>
        <w:rPr>
          <w:rFonts w:asciiTheme="majorHAnsi" w:hAnsiTheme="majorHAnsi" w:cstheme="majorHAnsi"/>
          <w:sz w:val="24"/>
          <w:szCs w:val="24"/>
        </w:rPr>
      </w:pPr>
      <w:r w:rsidRPr="00A11A9E">
        <w:rPr>
          <w:rFonts w:asciiTheme="majorHAnsi" w:hAnsiTheme="majorHAnsi" w:cstheme="majorHAnsi"/>
          <w:sz w:val="24"/>
          <w:szCs w:val="24"/>
        </w:rPr>
        <w:t xml:space="preserve">Epilepsy is the most common long term neurological condition of </w:t>
      </w:r>
      <w:r w:rsidR="003910BC" w:rsidRPr="00A11A9E">
        <w:rPr>
          <w:rFonts w:asciiTheme="majorHAnsi" w:hAnsiTheme="majorHAnsi" w:cstheme="majorHAnsi"/>
          <w:sz w:val="24"/>
          <w:szCs w:val="24"/>
        </w:rPr>
        <w:t>childhood,</w:t>
      </w:r>
      <w:r w:rsidRPr="00A11A9E">
        <w:rPr>
          <w:rFonts w:asciiTheme="majorHAnsi" w:hAnsiTheme="majorHAnsi" w:cstheme="majorHAnsi"/>
          <w:sz w:val="24"/>
          <w:szCs w:val="24"/>
        </w:rPr>
        <w:t xml:space="preserve"> and it affects an estimated 112,000 children and young people in the UK, although diagnosis is not straightforward due to a lack of a specific diagnosis test. 37% of children with epilepsy have a co-existing mental health disorder, a higher prevalence than found in other long term childhood conditions</w:t>
      </w:r>
      <w:r w:rsidR="0009672C" w:rsidRPr="00A11A9E">
        <w:rPr>
          <w:rFonts w:asciiTheme="majorHAnsi" w:hAnsiTheme="majorHAnsi" w:cstheme="majorHAnsi"/>
          <w:sz w:val="24"/>
          <w:szCs w:val="24"/>
        </w:rPr>
        <w:t xml:space="preserve">. In 2020/2021 there were 25 hospital admissions in under </w:t>
      </w:r>
      <w:r w:rsidR="003910BC" w:rsidRPr="00A11A9E">
        <w:rPr>
          <w:rFonts w:asciiTheme="majorHAnsi" w:hAnsiTheme="majorHAnsi" w:cstheme="majorHAnsi"/>
          <w:sz w:val="24"/>
          <w:szCs w:val="24"/>
        </w:rPr>
        <w:t>19-year-olds</w:t>
      </w:r>
      <w:r w:rsidR="0009672C" w:rsidRPr="00A11A9E">
        <w:rPr>
          <w:rFonts w:asciiTheme="majorHAnsi" w:hAnsiTheme="majorHAnsi" w:cstheme="majorHAnsi"/>
          <w:sz w:val="24"/>
          <w:szCs w:val="24"/>
        </w:rPr>
        <w:t xml:space="preserve">, a rate of 64 per 100,000 which is in line </w:t>
      </w:r>
      <w:r w:rsidR="003910BC">
        <w:rPr>
          <w:rFonts w:asciiTheme="majorHAnsi" w:hAnsiTheme="majorHAnsi" w:cstheme="majorHAnsi"/>
          <w:sz w:val="24"/>
          <w:szCs w:val="24"/>
        </w:rPr>
        <w:t xml:space="preserve">with </w:t>
      </w:r>
      <w:r w:rsidR="0009672C" w:rsidRPr="00A11A9E">
        <w:rPr>
          <w:rFonts w:asciiTheme="majorHAnsi" w:hAnsiTheme="majorHAnsi" w:cstheme="majorHAnsi"/>
          <w:sz w:val="24"/>
          <w:szCs w:val="24"/>
        </w:rPr>
        <w:t xml:space="preserve">the national average. However, this is down from the previous 5 years where there had been between 40-50 admissions per year, where rates were significantly higher than the England average.  </w:t>
      </w:r>
    </w:p>
    <w:p w14:paraId="251E5F6D" w14:textId="0AC48450" w:rsidR="00321E13" w:rsidRPr="00A11A9E" w:rsidRDefault="00321E13" w:rsidP="009759CD">
      <w:pPr>
        <w:rPr>
          <w:rFonts w:asciiTheme="majorHAnsi" w:hAnsiTheme="majorHAnsi" w:cstheme="majorHAnsi"/>
          <w:sz w:val="24"/>
          <w:szCs w:val="24"/>
        </w:rPr>
      </w:pPr>
      <w:r w:rsidRPr="00A11A9E">
        <w:rPr>
          <w:rFonts w:asciiTheme="majorHAnsi" w:hAnsiTheme="majorHAnsi" w:cstheme="majorHAnsi"/>
          <w:sz w:val="24"/>
          <w:szCs w:val="24"/>
        </w:rPr>
        <w:t xml:space="preserve">Diabetes is increasingly common among children and young people in the UK; while 90% of diabetes cases are </w:t>
      </w:r>
      <w:r w:rsidR="003910BC">
        <w:rPr>
          <w:rFonts w:asciiTheme="majorHAnsi" w:hAnsiTheme="majorHAnsi" w:cstheme="majorHAnsi"/>
          <w:sz w:val="24"/>
          <w:szCs w:val="24"/>
        </w:rPr>
        <w:t>t</w:t>
      </w:r>
      <w:r w:rsidRPr="00A11A9E">
        <w:rPr>
          <w:rFonts w:asciiTheme="majorHAnsi" w:hAnsiTheme="majorHAnsi" w:cstheme="majorHAnsi"/>
          <w:sz w:val="24"/>
          <w:szCs w:val="24"/>
        </w:rPr>
        <w:t xml:space="preserve">ype 1, </w:t>
      </w:r>
      <w:r w:rsidR="003910BC">
        <w:rPr>
          <w:rFonts w:asciiTheme="majorHAnsi" w:hAnsiTheme="majorHAnsi" w:cstheme="majorHAnsi"/>
          <w:sz w:val="24"/>
          <w:szCs w:val="24"/>
        </w:rPr>
        <w:t>t</w:t>
      </w:r>
      <w:r w:rsidRPr="00A11A9E">
        <w:rPr>
          <w:rFonts w:asciiTheme="majorHAnsi" w:hAnsiTheme="majorHAnsi" w:cstheme="majorHAnsi"/>
          <w:sz w:val="24"/>
          <w:szCs w:val="24"/>
        </w:rPr>
        <w:t>ype 2 is increasing in prevalence.</w:t>
      </w:r>
      <w:r w:rsidRPr="00A11A9E">
        <w:rPr>
          <w:rFonts w:asciiTheme="majorHAnsi" w:hAnsiTheme="majorHAnsi" w:cstheme="majorHAnsi"/>
          <w:color w:val="000000"/>
          <w:sz w:val="24"/>
          <w:szCs w:val="24"/>
          <w:shd w:val="clear" w:color="auto" w:fill="FFFFFF"/>
        </w:rPr>
        <w:t xml:space="preserve"> </w:t>
      </w:r>
      <w:r w:rsidRPr="00A11A9E">
        <w:rPr>
          <w:rFonts w:asciiTheme="majorHAnsi" w:hAnsiTheme="majorHAnsi" w:cstheme="majorHAnsi"/>
          <w:sz w:val="24"/>
          <w:szCs w:val="24"/>
        </w:rPr>
        <w:t xml:space="preserve">In 2019, there were an estimated 36,000 children in the UK with diabetes under the age of 19, up from 31,500 in 2015.  In York, in 2020/2021 there were 20 hospital admissions in under </w:t>
      </w:r>
      <w:r w:rsidR="00A11A9E" w:rsidRPr="00A11A9E">
        <w:rPr>
          <w:rFonts w:asciiTheme="majorHAnsi" w:hAnsiTheme="majorHAnsi" w:cstheme="majorHAnsi"/>
          <w:sz w:val="24"/>
          <w:szCs w:val="24"/>
        </w:rPr>
        <w:t>19-year-olds</w:t>
      </w:r>
      <w:r w:rsidRPr="00A11A9E">
        <w:rPr>
          <w:rFonts w:asciiTheme="majorHAnsi" w:hAnsiTheme="majorHAnsi" w:cstheme="majorHAnsi"/>
          <w:sz w:val="24"/>
          <w:szCs w:val="24"/>
        </w:rPr>
        <w:t xml:space="preserve"> due to diabetes, a rate of 51.2 per 100,000 which is in line with regional and national averages. This rate has remained static over the last decade. </w:t>
      </w:r>
    </w:p>
    <w:p w14:paraId="14DFA34A" w14:textId="4FD0A913" w:rsidR="00321E13" w:rsidRPr="00A11A9E" w:rsidRDefault="00321E13" w:rsidP="009759CD">
      <w:pPr>
        <w:rPr>
          <w:rFonts w:asciiTheme="majorHAnsi" w:hAnsiTheme="majorHAnsi" w:cstheme="majorHAnsi"/>
          <w:sz w:val="24"/>
          <w:szCs w:val="24"/>
        </w:rPr>
      </w:pPr>
      <w:r w:rsidRPr="00A11A9E">
        <w:rPr>
          <w:rFonts w:asciiTheme="majorHAnsi" w:hAnsiTheme="majorHAnsi" w:cstheme="majorHAnsi"/>
          <w:sz w:val="24"/>
          <w:szCs w:val="24"/>
        </w:rPr>
        <w:t>Cancer</w:t>
      </w:r>
      <w:r w:rsidR="00BB522D" w:rsidRPr="00A11A9E">
        <w:rPr>
          <w:rFonts w:asciiTheme="majorHAnsi" w:hAnsiTheme="majorHAnsi" w:cstheme="majorHAnsi"/>
          <w:sz w:val="24"/>
          <w:szCs w:val="24"/>
        </w:rPr>
        <w:t xml:space="preserve"> incidence in children is on average 1,838 new cases in the UK every year and</w:t>
      </w:r>
      <w:r w:rsidRPr="00A11A9E">
        <w:rPr>
          <w:rFonts w:asciiTheme="majorHAnsi" w:hAnsiTheme="majorHAnsi" w:cstheme="majorHAnsi"/>
          <w:sz w:val="24"/>
          <w:szCs w:val="24"/>
        </w:rPr>
        <w:t xml:space="preserve"> an average of 240 deaths per year in the UK. The most common cancer diagnoses in children are </w:t>
      </w:r>
      <w:r w:rsidR="003910BC">
        <w:rPr>
          <w:rFonts w:asciiTheme="majorHAnsi" w:hAnsiTheme="majorHAnsi" w:cstheme="majorHAnsi"/>
          <w:sz w:val="24"/>
          <w:szCs w:val="24"/>
        </w:rPr>
        <w:t>l</w:t>
      </w:r>
      <w:r w:rsidRPr="00A11A9E">
        <w:rPr>
          <w:rFonts w:asciiTheme="majorHAnsi" w:hAnsiTheme="majorHAnsi" w:cstheme="majorHAnsi"/>
          <w:sz w:val="24"/>
          <w:szCs w:val="24"/>
        </w:rPr>
        <w:t xml:space="preserve">eukaemia, </w:t>
      </w:r>
      <w:r w:rsidR="003910BC">
        <w:rPr>
          <w:rFonts w:asciiTheme="majorHAnsi" w:hAnsiTheme="majorHAnsi" w:cstheme="majorHAnsi"/>
          <w:sz w:val="24"/>
          <w:szCs w:val="24"/>
        </w:rPr>
        <w:t>b</w:t>
      </w:r>
      <w:r w:rsidRPr="00A11A9E">
        <w:rPr>
          <w:rFonts w:asciiTheme="majorHAnsi" w:hAnsiTheme="majorHAnsi" w:cstheme="majorHAnsi"/>
          <w:sz w:val="24"/>
          <w:szCs w:val="24"/>
        </w:rPr>
        <w:t xml:space="preserve">rain/other central nervous system (CNS) and </w:t>
      </w:r>
      <w:r w:rsidR="003910BC">
        <w:rPr>
          <w:rFonts w:asciiTheme="majorHAnsi" w:hAnsiTheme="majorHAnsi" w:cstheme="majorHAnsi"/>
          <w:sz w:val="24"/>
          <w:szCs w:val="24"/>
        </w:rPr>
        <w:t>l</w:t>
      </w:r>
      <w:r w:rsidRPr="00A11A9E">
        <w:rPr>
          <w:rFonts w:asciiTheme="majorHAnsi" w:hAnsiTheme="majorHAnsi" w:cstheme="majorHAnsi"/>
          <w:sz w:val="24"/>
          <w:szCs w:val="24"/>
        </w:rPr>
        <w:t>ymphomas.</w:t>
      </w:r>
      <w:r w:rsidR="00BB522D" w:rsidRPr="00A11A9E">
        <w:rPr>
          <w:rFonts w:asciiTheme="majorHAnsi" w:hAnsiTheme="majorHAnsi" w:cstheme="majorHAnsi"/>
          <w:sz w:val="24"/>
          <w:szCs w:val="24"/>
        </w:rPr>
        <w:t xml:space="preserve"> </w:t>
      </w:r>
      <w:r w:rsidRPr="00A11A9E">
        <w:rPr>
          <w:rFonts w:asciiTheme="majorHAnsi" w:hAnsiTheme="majorHAnsi" w:cstheme="majorHAnsi"/>
          <w:sz w:val="24"/>
          <w:szCs w:val="24"/>
        </w:rPr>
        <w:t>Incidence rates for childhood cancers have risen by 15% in the UK since the 1990s</w:t>
      </w:r>
      <w:r w:rsidR="00BB522D" w:rsidRPr="00A11A9E">
        <w:rPr>
          <w:rFonts w:asciiTheme="majorHAnsi" w:hAnsiTheme="majorHAnsi" w:cstheme="majorHAnsi"/>
          <w:sz w:val="24"/>
          <w:szCs w:val="24"/>
        </w:rPr>
        <w:t xml:space="preserve"> however m</w:t>
      </w:r>
      <w:r w:rsidRPr="00A11A9E">
        <w:rPr>
          <w:rFonts w:asciiTheme="majorHAnsi" w:hAnsiTheme="majorHAnsi" w:cstheme="majorHAnsi"/>
          <w:sz w:val="24"/>
          <w:szCs w:val="24"/>
        </w:rPr>
        <w:t>ore children are surviving longer from cancer. From the latest available data, approximately 8</w:t>
      </w:r>
      <w:r w:rsidR="009759CD" w:rsidRPr="00A11A9E">
        <w:rPr>
          <w:rFonts w:asciiTheme="majorHAnsi" w:hAnsiTheme="majorHAnsi" w:cstheme="majorHAnsi"/>
          <w:sz w:val="24"/>
          <w:szCs w:val="24"/>
        </w:rPr>
        <w:t>4</w:t>
      </w:r>
      <w:r w:rsidRPr="00A11A9E">
        <w:rPr>
          <w:rFonts w:asciiTheme="majorHAnsi" w:hAnsiTheme="majorHAnsi" w:cstheme="majorHAnsi"/>
          <w:sz w:val="24"/>
          <w:szCs w:val="24"/>
        </w:rPr>
        <w:t xml:space="preserve">% </w:t>
      </w:r>
      <w:r w:rsidR="009759CD" w:rsidRPr="00A11A9E">
        <w:rPr>
          <w:rFonts w:asciiTheme="majorHAnsi" w:hAnsiTheme="majorHAnsi" w:cstheme="majorHAnsi"/>
          <w:sz w:val="24"/>
          <w:szCs w:val="24"/>
        </w:rPr>
        <w:t xml:space="preserve">of children </w:t>
      </w:r>
      <w:r w:rsidRPr="00A11A9E">
        <w:rPr>
          <w:rFonts w:asciiTheme="majorHAnsi" w:hAnsiTheme="majorHAnsi" w:cstheme="majorHAnsi"/>
          <w:sz w:val="24"/>
          <w:szCs w:val="24"/>
        </w:rPr>
        <w:t>survived five years after diagnosis</w:t>
      </w:r>
      <w:r w:rsidR="009759CD" w:rsidRPr="00A11A9E">
        <w:rPr>
          <w:rFonts w:asciiTheme="majorHAnsi" w:hAnsiTheme="majorHAnsi" w:cstheme="majorHAnsi"/>
          <w:sz w:val="24"/>
          <w:szCs w:val="24"/>
        </w:rPr>
        <w:t xml:space="preserve">, 80% survived ten years after diagnosis and 72% survived for 20 years or more after diagnosis. </w:t>
      </w:r>
    </w:p>
    <w:p w14:paraId="56B223CB" w14:textId="1CD2AD21" w:rsidR="00C457A5" w:rsidRPr="00A11A9E" w:rsidRDefault="008118B3" w:rsidP="005F5B2C">
      <w:pPr>
        <w:pStyle w:val="Heading3"/>
        <w:rPr>
          <w:rFonts w:cstheme="majorHAnsi"/>
        </w:rPr>
      </w:pPr>
      <w:bookmarkStart w:id="15" w:name="_Toc111469673"/>
      <w:r w:rsidRPr="00A11A9E">
        <w:rPr>
          <w:rFonts w:cstheme="majorHAnsi"/>
        </w:rPr>
        <w:t xml:space="preserve">All CYP - </w:t>
      </w:r>
      <w:r w:rsidR="00C457A5" w:rsidRPr="00A11A9E">
        <w:rPr>
          <w:rFonts w:cstheme="majorHAnsi"/>
        </w:rPr>
        <w:t>Self-reported health and self-reported daily limitation</w:t>
      </w:r>
      <w:bookmarkEnd w:id="15"/>
      <w:r w:rsidR="00C457A5" w:rsidRPr="00A11A9E">
        <w:rPr>
          <w:rFonts w:cstheme="majorHAnsi"/>
        </w:rPr>
        <w:t xml:space="preserve"> </w:t>
      </w:r>
    </w:p>
    <w:p w14:paraId="6B185E46" w14:textId="15DF3F37" w:rsidR="00FC7E48" w:rsidRPr="00A11A9E" w:rsidRDefault="00FC7E48" w:rsidP="00FC7E48">
      <w:pPr>
        <w:rPr>
          <w:rFonts w:asciiTheme="majorHAnsi" w:hAnsiTheme="majorHAnsi" w:cstheme="majorHAnsi"/>
          <w:sz w:val="24"/>
          <w:szCs w:val="24"/>
        </w:rPr>
      </w:pPr>
      <w:r w:rsidRPr="00A11A9E">
        <w:rPr>
          <w:rFonts w:asciiTheme="majorHAnsi" w:hAnsiTheme="majorHAnsi" w:cstheme="majorHAnsi"/>
          <w:sz w:val="24"/>
          <w:szCs w:val="24"/>
        </w:rPr>
        <w:t xml:space="preserve">Probable mental disorder is not a diagnosis, but an indication of potential difficulties. It is measured using </w:t>
      </w:r>
      <w:r w:rsidR="003910BC">
        <w:rPr>
          <w:rFonts w:asciiTheme="majorHAnsi" w:hAnsiTheme="majorHAnsi" w:cstheme="majorHAnsi"/>
          <w:sz w:val="24"/>
          <w:szCs w:val="24"/>
        </w:rPr>
        <w:t xml:space="preserve">the </w:t>
      </w:r>
      <w:r w:rsidRPr="00A11A9E">
        <w:rPr>
          <w:rFonts w:asciiTheme="majorHAnsi" w:hAnsiTheme="majorHAnsi" w:cstheme="majorHAnsi"/>
          <w:sz w:val="24"/>
          <w:szCs w:val="24"/>
        </w:rPr>
        <w:t xml:space="preserve">Strengths and Difficulties Questionnaire (SDQ) which includes 25 questions on different aspects of behaviour related to emotional problems, conduct problems, hyperactivity/inattention (restlessness), peer relationship problems and positive prosocial behaviour. </w:t>
      </w:r>
      <w:r w:rsidR="00A11A9E">
        <w:rPr>
          <w:rFonts w:asciiTheme="majorHAnsi" w:hAnsiTheme="majorHAnsi" w:cstheme="majorHAnsi"/>
          <w:sz w:val="24"/>
          <w:szCs w:val="24"/>
        </w:rPr>
        <w:t xml:space="preserve">Figure </w:t>
      </w:r>
      <w:r w:rsidR="00B74160">
        <w:rPr>
          <w:rFonts w:asciiTheme="majorHAnsi" w:hAnsiTheme="majorHAnsi" w:cstheme="majorHAnsi"/>
          <w:sz w:val="24"/>
          <w:szCs w:val="24"/>
        </w:rPr>
        <w:t>11</w:t>
      </w:r>
      <w:r w:rsidR="00A11A9E">
        <w:rPr>
          <w:rFonts w:asciiTheme="majorHAnsi" w:hAnsiTheme="majorHAnsi" w:cstheme="majorHAnsi"/>
          <w:sz w:val="24"/>
          <w:szCs w:val="24"/>
        </w:rPr>
        <w:t xml:space="preserve"> shows t</w:t>
      </w:r>
      <w:r w:rsidRPr="00A11A9E">
        <w:rPr>
          <w:rFonts w:asciiTheme="majorHAnsi" w:hAnsiTheme="majorHAnsi" w:cstheme="majorHAnsi"/>
          <w:sz w:val="24"/>
          <w:szCs w:val="24"/>
        </w:rPr>
        <w:t>here was an increase in probable mental disorders between 2017 and 2021 among both SEND and non-SEND children and young people. Children aged 6-16 with SEND were more likely than those without SEND to have a probable mental disorder, both in 2017 (SEND = 43.9%, non</w:t>
      </w:r>
      <w:r w:rsidR="00A11A9E">
        <w:rPr>
          <w:rFonts w:asciiTheme="majorHAnsi" w:hAnsiTheme="majorHAnsi" w:cstheme="majorHAnsi"/>
          <w:sz w:val="24"/>
          <w:szCs w:val="24"/>
        </w:rPr>
        <w:t>-</w:t>
      </w:r>
      <w:r w:rsidRPr="00A11A9E">
        <w:rPr>
          <w:rFonts w:asciiTheme="majorHAnsi" w:hAnsiTheme="majorHAnsi" w:cstheme="majorHAnsi"/>
          <w:sz w:val="24"/>
          <w:szCs w:val="24"/>
        </w:rPr>
        <w:t>SEND = 8.2%), and 2021 (SEND = 56.7%, non-SEND = 12.5%).</w:t>
      </w:r>
    </w:p>
    <w:p w14:paraId="4A8BF44A" w14:textId="77777777" w:rsidR="00A11A9E" w:rsidRDefault="00FC7E48" w:rsidP="00A11A9E">
      <w:pPr>
        <w:keepNext/>
      </w:pPr>
      <w:r>
        <w:rPr>
          <w:noProof/>
        </w:rPr>
        <w:lastRenderedPageBreak/>
        <w:drawing>
          <wp:inline distT="0" distB="0" distL="0" distR="0" wp14:anchorId="6CA477C6" wp14:editId="73A2615D">
            <wp:extent cx="5731510" cy="290385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2903855"/>
                    </a:xfrm>
                    <a:prstGeom prst="rect">
                      <a:avLst/>
                    </a:prstGeom>
                  </pic:spPr>
                </pic:pic>
              </a:graphicData>
            </a:graphic>
          </wp:inline>
        </w:drawing>
      </w:r>
    </w:p>
    <w:p w14:paraId="3F526173" w14:textId="7DF8E2EA" w:rsidR="00FC7E48" w:rsidRDefault="00A11A9E" w:rsidP="00A11A9E">
      <w:pPr>
        <w:pStyle w:val="Caption"/>
      </w:pPr>
      <w:r>
        <w:t xml:space="preserve">Figure </w:t>
      </w:r>
      <w:r w:rsidR="00D17F76">
        <w:fldChar w:fldCharType="begin"/>
      </w:r>
      <w:r w:rsidR="00D17F76">
        <w:instrText xml:space="preserve"> SEQ Figure \* ARABIC </w:instrText>
      </w:r>
      <w:r w:rsidR="00D17F76">
        <w:fldChar w:fldCharType="separate"/>
      </w:r>
      <w:r w:rsidR="00B74160">
        <w:rPr>
          <w:noProof/>
        </w:rPr>
        <w:t>11</w:t>
      </w:r>
      <w:r w:rsidR="00D17F76">
        <w:rPr>
          <w:noProof/>
        </w:rPr>
        <w:fldChar w:fldCharType="end"/>
      </w:r>
      <w:r>
        <w:t>: Rates of probable mental disorder by SEND status</w:t>
      </w:r>
    </w:p>
    <w:p w14:paraId="2B6E2839" w14:textId="77777777" w:rsidR="00752BF9" w:rsidRPr="001243F5" w:rsidRDefault="00752BF9" w:rsidP="00752BF9">
      <w:pPr>
        <w:pStyle w:val="ListParagraph"/>
        <w:rPr>
          <w:rFonts w:asciiTheme="majorHAnsi" w:hAnsiTheme="majorHAnsi" w:cstheme="majorHAnsi"/>
          <w:sz w:val="24"/>
        </w:rPr>
      </w:pPr>
    </w:p>
    <w:p w14:paraId="3C09CF40" w14:textId="4AC02432" w:rsidR="00C457A5" w:rsidRPr="0022271E" w:rsidRDefault="00C457A5" w:rsidP="00504166">
      <w:pPr>
        <w:pStyle w:val="Heading1"/>
      </w:pPr>
      <w:bookmarkStart w:id="16" w:name="_Toc111469674"/>
      <w:r w:rsidRPr="00C23556">
        <w:t xml:space="preserve">Social care </w:t>
      </w:r>
      <w:r w:rsidR="005865FF" w:rsidRPr="00C23556">
        <w:t>and educational need overlap</w:t>
      </w:r>
      <w:bookmarkEnd w:id="16"/>
      <w:r w:rsidR="005865FF" w:rsidRPr="0022271E">
        <w:t xml:space="preserve"> </w:t>
      </w:r>
      <w:r w:rsidRPr="0022271E">
        <w:t xml:space="preserve"> </w:t>
      </w:r>
    </w:p>
    <w:p w14:paraId="182AE78D" w14:textId="1099732A" w:rsidR="005865FF" w:rsidRDefault="005865FF" w:rsidP="005F5B2C">
      <w:pPr>
        <w:pStyle w:val="Heading3"/>
      </w:pPr>
      <w:bookmarkStart w:id="17" w:name="_Toc111469675"/>
      <w:r w:rsidRPr="005F5B2C">
        <w:t>Num</w:t>
      </w:r>
      <w:r w:rsidR="006D12B4">
        <w:t>ber of child protection plans with and without</w:t>
      </w:r>
      <w:r w:rsidRPr="005F5B2C">
        <w:t xml:space="preserve"> EHCP</w:t>
      </w:r>
      <w:bookmarkEnd w:id="17"/>
    </w:p>
    <w:p w14:paraId="365FCB9B" w14:textId="77777777" w:rsidR="00A11A9E" w:rsidRDefault="00466381" w:rsidP="00A11A9E">
      <w:pPr>
        <w:keepNext/>
      </w:pPr>
      <w:r>
        <w:rPr>
          <w:rFonts w:ascii="Arial" w:hAnsi="Arial" w:cs="Arial"/>
          <w:noProof/>
          <w:color w:val="000000"/>
          <w:sz w:val="24"/>
          <w:szCs w:val="24"/>
          <w:lang w:eastAsia="en-GB"/>
        </w:rPr>
        <w:drawing>
          <wp:inline distT="0" distB="0" distL="0" distR="0" wp14:anchorId="6DAD80B7" wp14:editId="10982891">
            <wp:extent cx="5731510" cy="2267502"/>
            <wp:effectExtent l="0" t="0" r="0" b="0"/>
            <wp:docPr id="14" name="Picture 14" descr="cid:image003.png@01D84B2E.4158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png@01D84B2E.4158B12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31510" cy="2267502"/>
                    </a:xfrm>
                    <a:prstGeom prst="rect">
                      <a:avLst/>
                    </a:prstGeom>
                    <a:noFill/>
                    <a:ln>
                      <a:noFill/>
                    </a:ln>
                  </pic:spPr>
                </pic:pic>
              </a:graphicData>
            </a:graphic>
          </wp:inline>
        </w:drawing>
      </w:r>
    </w:p>
    <w:p w14:paraId="06505A50" w14:textId="69854776" w:rsidR="00466381" w:rsidRDefault="00A11A9E" w:rsidP="00A11A9E">
      <w:pPr>
        <w:pStyle w:val="Caption"/>
      </w:pPr>
      <w:r>
        <w:t xml:space="preserve">Figure </w:t>
      </w:r>
      <w:r w:rsidR="00D17F76">
        <w:fldChar w:fldCharType="begin"/>
      </w:r>
      <w:r w:rsidR="00D17F76">
        <w:instrText xml:space="preserve"> SEQ Figure \* ARABIC </w:instrText>
      </w:r>
      <w:r w:rsidR="00D17F76">
        <w:fldChar w:fldCharType="separate"/>
      </w:r>
      <w:r w:rsidR="00B74160">
        <w:rPr>
          <w:noProof/>
        </w:rPr>
        <w:t>12</w:t>
      </w:r>
      <w:r w:rsidR="00D17F76">
        <w:rPr>
          <w:noProof/>
        </w:rPr>
        <w:fldChar w:fldCharType="end"/>
      </w:r>
      <w:r>
        <w:t xml:space="preserve">: York, statistical neighbours and England, prevalence of SEN or EHCP within children </w:t>
      </w:r>
      <w:r w:rsidR="002100E0">
        <w:t>with child protection plans</w:t>
      </w:r>
      <w:r w:rsidR="0050440D">
        <w:t xml:space="preserve"> (local data)</w:t>
      </w:r>
    </w:p>
    <w:p w14:paraId="22B79743" w14:textId="2F34A0B8" w:rsidR="00607EDE" w:rsidRPr="00A11A9E" w:rsidRDefault="00607EDE" w:rsidP="00466381">
      <w:pPr>
        <w:rPr>
          <w:rFonts w:asciiTheme="majorHAnsi" w:hAnsiTheme="majorHAnsi" w:cstheme="majorHAnsi"/>
          <w:sz w:val="24"/>
          <w:szCs w:val="24"/>
        </w:rPr>
      </w:pPr>
      <w:r w:rsidRPr="00A11A9E">
        <w:rPr>
          <w:rFonts w:asciiTheme="majorHAnsi" w:hAnsiTheme="majorHAnsi" w:cstheme="majorHAnsi"/>
          <w:sz w:val="24"/>
          <w:szCs w:val="24"/>
        </w:rPr>
        <w:t xml:space="preserve">National data </w:t>
      </w:r>
      <w:r w:rsidR="00A11A9E">
        <w:rPr>
          <w:rFonts w:asciiTheme="majorHAnsi" w:hAnsiTheme="majorHAnsi" w:cstheme="majorHAnsi"/>
          <w:sz w:val="24"/>
          <w:szCs w:val="24"/>
        </w:rPr>
        <w:t>(Figure 1</w:t>
      </w:r>
      <w:r w:rsidR="00B74160">
        <w:rPr>
          <w:rFonts w:asciiTheme="majorHAnsi" w:hAnsiTheme="majorHAnsi" w:cstheme="majorHAnsi"/>
          <w:sz w:val="24"/>
          <w:szCs w:val="24"/>
        </w:rPr>
        <w:t>2</w:t>
      </w:r>
      <w:r w:rsidR="00A11A9E">
        <w:rPr>
          <w:rFonts w:asciiTheme="majorHAnsi" w:hAnsiTheme="majorHAnsi" w:cstheme="majorHAnsi"/>
          <w:sz w:val="24"/>
          <w:szCs w:val="24"/>
        </w:rPr>
        <w:t xml:space="preserve">) </w:t>
      </w:r>
      <w:r w:rsidRPr="00A11A9E">
        <w:rPr>
          <w:rFonts w:asciiTheme="majorHAnsi" w:hAnsiTheme="majorHAnsi" w:cstheme="majorHAnsi"/>
          <w:sz w:val="24"/>
          <w:szCs w:val="24"/>
        </w:rPr>
        <w:t>shows that in York a slightly lower proportion of children with Child Protection Plans</w:t>
      </w:r>
      <w:r w:rsidR="009A7E28" w:rsidRPr="00A11A9E">
        <w:rPr>
          <w:rFonts w:asciiTheme="majorHAnsi" w:hAnsiTheme="majorHAnsi" w:cstheme="majorHAnsi"/>
          <w:sz w:val="24"/>
          <w:szCs w:val="24"/>
        </w:rPr>
        <w:t xml:space="preserve"> in place have a SEN or an EHCP, this has consistently been the case since 2016-17. Since 2018-19 the proportion has been steadily between 6% and 6.3%.</w:t>
      </w:r>
    </w:p>
    <w:p w14:paraId="26EA26AD" w14:textId="77777777" w:rsidR="00746E6F" w:rsidRPr="00B74160" w:rsidRDefault="005865FF" w:rsidP="00746E6F">
      <w:pPr>
        <w:pStyle w:val="Heading3"/>
        <w:rPr>
          <w:rFonts w:cstheme="majorHAnsi"/>
        </w:rPr>
      </w:pPr>
      <w:bookmarkStart w:id="18" w:name="_Toc111469676"/>
      <w:r w:rsidRPr="00B74160">
        <w:rPr>
          <w:rFonts w:cstheme="majorHAnsi"/>
        </w:rPr>
        <w:t>Number of looked after children w/ and w/o EHCP</w:t>
      </w:r>
      <w:bookmarkEnd w:id="18"/>
    </w:p>
    <w:p w14:paraId="0A0C4C8F" w14:textId="41DD17EE" w:rsidR="00746E6F" w:rsidRPr="00B74160" w:rsidRDefault="00746E6F" w:rsidP="00746E6F">
      <w:pPr>
        <w:rPr>
          <w:rFonts w:asciiTheme="majorHAnsi" w:hAnsiTheme="majorHAnsi" w:cstheme="majorHAnsi"/>
          <w:sz w:val="24"/>
          <w:szCs w:val="24"/>
        </w:rPr>
      </w:pPr>
      <w:r w:rsidRPr="00B74160">
        <w:rPr>
          <w:rFonts w:asciiTheme="majorHAnsi" w:hAnsiTheme="majorHAnsi" w:cstheme="majorHAnsi"/>
          <w:sz w:val="24"/>
          <w:szCs w:val="24"/>
        </w:rPr>
        <w:t xml:space="preserve">As of </w:t>
      </w:r>
      <w:r w:rsidR="002100E0" w:rsidRPr="00B74160">
        <w:rPr>
          <w:rFonts w:asciiTheme="majorHAnsi" w:hAnsiTheme="majorHAnsi" w:cstheme="majorHAnsi"/>
          <w:sz w:val="24"/>
          <w:szCs w:val="24"/>
        </w:rPr>
        <w:t>February 2022, 19%</w:t>
      </w:r>
      <w:r w:rsidRPr="00B74160">
        <w:rPr>
          <w:rFonts w:asciiTheme="majorHAnsi" w:hAnsiTheme="majorHAnsi" w:cstheme="majorHAnsi"/>
          <w:sz w:val="24"/>
          <w:szCs w:val="24"/>
        </w:rPr>
        <w:t xml:space="preserve"> of City of York Looked after Children had an EHCP, as per Figure </w:t>
      </w:r>
      <w:r w:rsidR="002100E0" w:rsidRPr="00B74160">
        <w:rPr>
          <w:rFonts w:asciiTheme="majorHAnsi" w:hAnsiTheme="majorHAnsi" w:cstheme="majorHAnsi"/>
          <w:sz w:val="24"/>
          <w:szCs w:val="24"/>
        </w:rPr>
        <w:t>1</w:t>
      </w:r>
      <w:r w:rsidR="00B74160" w:rsidRPr="00B74160">
        <w:rPr>
          <w:rFonts w:asciiTheme="majorHAnsi" w:hAnsiTheme="majorHAnsi" w:cstheme="majorHAnsi"/>
          <w:sz w:val="24"/>
          <w:szCs w:val="24"/>
        </w:rPr>
        <w:t>3</w:t>
      </w:r>
      <w:r w:rsidRPr="00B74160">
        <w:rPr>
          <w:rFonts w:asciiTheme="majorHAnsi" w:hAnsiTheme="majorHAnsi" w:cstheme="majorHAnsi"/>
          <w:sz w:val="24"/>
          <w:szCs w:val="24"/>
        </w:rPr>
        <w:t>.</w:t>
      </w:r>
      <w:r w:rsidR="009A7E28" w:rsidRPr="00B74160">
        <w:rPr>
          <w:rFonts w:asciiTheme="majorHAnsi" w:hAnsiTheme="majorHAnsi" w:cstheme="majorHAnsi"/>
          <w:sz w:val="24"/>
          <w:szCs w:val="24"/>
        </w:rPr>
        <w:t xml:space="preserve"> This is a higher proportion</w:t>
      </w:r>
      <w:r w:rsidR="002100E0" w:rsidRPr="00B74160">
        <w:rPr>
          <w:rFonts w:asciiTheme="majorHAnsi" w:hAnsiTheme="majorHAnsi" w:cstheme="majorHAnsi"/>
          <w:sz w:val="24"/>
          <w:szCs w:val="24"/>
        </w:rPr>
        <w:t xml:space="preserve"> than the general population.</w:t>
      </w:r>
    </w:p>
    <w:p w14:paraId="0FA7C8E6" w14:textId="77777777" w:rsidR="00746E6F" w:rsidRDefault="00746E6F" w:rsidP="00746E6F">
      <w:pPr>
        <w:keepNext/>
        <w:jc w:val="center"/>
      </w:pPr>
      <w:r>
        <w:rPr>
          <w:noProof/>
          <w:lang w:eastAsia="en-GB"/>
        </w:rPr>
        <w:lastRenderedPageBreak/>
        <w:drawing>
          <wp:inline distT="0" distB="0" distL="0" distR="0" wp14:anchorId="58B1DF6B" wp14:editId="778F199E">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B294057" w14:textId="24A5DF4D" w:rsidR="00746E6F" w:rsidRPr="00746E6F" w:rsidRDefault="00746E6F" w:rsidP="00746E6F">
      <w:pPr>
        <w:pStyle w:val="Caption"/>
      </w:pPr>
      <w:r>
        <w:t xml:space="preserve">Figure </w:t>
      </w:r>
      <w:fldSimple w:instr=" SEQ Figure \* ARABIC ">
        <w:r w:rsidR="00B74160">
          <w:rPr>
            <w:noProof/>
          </w:rPr>
          <w:t>13</w:t>
        </w:r>
      </w:fldSimple>
      <w:r>
        <w:t>: Looked after children in Feb 2022, by EHCP status</w:t>
      </w:r>
      <w:r w:rsidR="0050440D">
        <w:t xml:space="preserve"> (local data)</w:t>
      </w:r>
    </w:p>
    <w:p w14:paraId="2897EDE5" w14:textId="77777777" w:rsidR="009A7E28" w:rsidRDefault="009A7E28" w:rsidP="009A7E28"/>
    <w:p w14:paraId="7A71CFB7" w14:textId="0533CB2B" w:rsidR="005865FF" w:rsidRPr="005F5B2C" w:rsidRDefault="006D12B4" w:rsidP="005F5B2C">
      <w:pPr>
        <w:pStyle w:val="Heading3"/>
      </w:pPr>
      <w:bookmarkStart w:id="19" w:name="_Toc111469677"/>
      <w:r>
        <w:t xml:space="preserve">Number of children in need with </w:t>
      </w:r>
      <w:r w:rsidR="005865FF" w:rsidRPr="005F5B2C">
        <w:t>and w</w:t>
      </w:r>
      <w:r>
        <w:t>ithout</w:t>
      </w:r>
      <w:r w:rsidR="005865FF" w:rsidRPr="005F5B2C">
        <w:t xml:space="preserve"> EHCP</w:t>
      </w:r>
      <w:bookmarkEnd w:id="19"/>
      <w:r w:rsidR="005865FF" w:rsidRPr="005F5B2C">
        <w:t xml:space="preserve"> </w:t>
      </w:r>
    </w:p>
    <w:p w14:paraId="001543BB" w14:textId="77777777" w:rsidR="002100E0" w:rsidRDefault="00BA588C" w:rsidP="00A45093">
      <w:pPr>
        <w:keepNext/>
        <w:tabs>
          <w:tab w:val="left" w:pos="2733"/>
        </w:tabs>
        <w:jc w:val="center"/>
      </w:pPr>
      <w:r>
        <w:rPr>
          <w:rFonts w:ascii="Arial" w:hAnsi="Arial" w:cs="Arial"/>
          <w:noProof/>
          <w:color w:val="000000"/>
          <w:sz w:val="24"/>
          <w:szCs w:val="24"/>
          <w:lang w:eastAsia="en-GB"/>
        </w:rPr>
        <w:drawing>
          <wp:inline distT="0" distB="0" distL="0" distR="0" wp14:anchorId="669C1CFF" wp14:editId="565E95A4">
            <wp:extent cx="5731510" cy="2267502"/>
            <wp:effectExtent l="0" t="0" r="0" b="0"/>
            <wp:docPr id="11" name="Picture 11" descr="cid:image002.png@01D84B2E.4158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84B2E.4158B12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731510" cy="2267502"/>
                    </a:xfrm>
                    <a:prstGeom prst="rect">
                      <a:avLst/>
                    </a:prstGeom>
                    <a:noFill/>
                    <a:ln>
                      <a:noFill/>
                    </a:ln>
                  </pic:spPr>
                </pic:pic>
              </a:graphicData>
            </a:graphic>
          </wp:inline>
        </w:drawing>
      </w:r>
    </w:p>
    <w:p w14:paraId="7B3A9231" w14:textId="0594252D" w:rsidR="005865FF" w:rsidRDefault="002100E0" w:rsidP="002100E0">
      <w:pPr>
        <w:pStyle w:val="Caption"/>
        <w:rPr>
          <w:rFonts w:asciiTheme="majorHAnsi" w:hAnsiTheme="majorHAnsi" w:cstheme="majorHAnsi"/>
          <w:sz w:val="24"/>
        </w:rPr>
      </w:pPr>
      <w:r>
        <w:t xml:space="preserve">Figure </w:t>
      </w:r>
      <w:r w:rsidR="00D17F76">
        <w:fldChar w:fldCharType="begin"/>
      </w:r>
      <w:r w:rsidR="00D17F76">
        <w:instrText xml:space="preserve"> SEQ Figure \* ARABIC </w:instrText>
      </w:r>
      <w:r w:rsidR="00D17F76">
        <w:fldChar w:fldCharType="separate"/>
      </w:r>
      <w:r w:rsidR="00B74160">
        <w:rPr>
          <w:noProof/>
        </w:rPr>
        <w:t>14</w:t>
      </w:r>
      <w:r w:rsidR="00D17F76">
        <w:rPr>
          <w:noProof/>
        </w:rPr>
        <w:fldChar w:fldCharType="end"/>
      </w:r>
      <w:r>
        <w:t xml:space="preserve">: Proportion of children in need in York, similar </w:t>
      </w:r>
      <w:r w:rsidR="00D17F76">
        <w:t>neighbours,</w:t>
      </w:r>
      <w:r>
        <w:t xml:space="preserve"> and England with statement or EHCP</w:t>
      </w:r>
      <w:r w:rsidR="0050440D">
        <w:t xml:space="preserve"> (local data)</w:t>
      </w:r>
    </w:p>
    <w:p w14:paraId="6F1BCF07" w14:textId="3D9F29F7" w:rsidR="006D12B4" w:rsidRDefault="006D12B4" w:rsidP="00BA588C">
      <w:pPr>
        <w:tabs>
          <w:tab w:val="left" w:pos="2733"/>
        </w:tabs>
        <w:rPr>
          <w:rFonts w:asciiTheme="majorHAnsi" w:hAnsiTheme="majorHAnsi" w:cstheme="majorHAnsi"/>
          <w:sz w:val="24"/>
        </w:rPr>
      </w:pPr>
      <w:r>
        <w:rPr>
          <w:rFonts w:asciiTheme="majorHAnsi" w:hAnsiTheme="majorHAnsi" w:cstheme="majorHAnsi"/>
          <w:sz w:val="24"/>
        </w:rPr>
        <w:t>The proportion of children in need with an EHCP in York has followed the national trend</w:t>
      </w:r>
      <w:r w:rsidR="002100E0">
        <w:rPr>
          <w:rFonts w:asciiTheme="majorHAnsi" w:hAnsiTheme="majorHAnsi" w:cstheme="majorHAnsi"/>
          <w:sz w:val="24"/>
        </w:rPr>
        <w:t xml:space="preserve"> (Figure 1</w:t>
      </w:r>
      <w:r w:rsidR="00B74160">
        <w:rPr>
          <w:rFonts w:asciiTheme="majorHAnsi" w:hAnsiTheme="majorHAnsi" w:cstheme="majorHAnsi"/>
          <w:sz w:val="24"/>
        </w:rPr>
        <w:t>4</w:t>
      </w:r>
      <w:r w:rsidR="002100E0">
        <w:rPr>
          <w:rFonts w:asciiTheme="majorHAnsi" w:hAnsiTheme="majorHAnsi" w:cstheme="majorHAnsi"/>
          <w:sz w:val="24"/>
        </w:rPr>
        <w:t>)</w:t>
      </w:r>
      <w:r>
        <w:rPr>
          <w:rFonts w:asciiTheme="majorHAnsi" w:hAnsiTheme="majorHAnsi" w:cstheme="majorHAnsi"/>
          <w:sz w:val="24"/>
        </w:rPr>
        <w:t>, the most recent figure for 20-21 has crept above both the National mean and the nearest neighbours mean, this will need monitoring to establish if this is natural variation within a small cohort or if it is the start of an upward trend</w:t>
      </w:r>
      <w:r w:rsidR="00116AE8">
        <w:rPr>
          <w:rFonts w:asciiTheme="majorHAnsi" w:hAnsiTheme="majorHAnsi" w:cstheme="majorHAnsi"/>
          <w:sz w:val="24"/>
        </w:rPr>
        <w:t>.</w:t>
      </w:r>
    </w:p>
    <w:p w14:paraId="5709575C" w14:textId="6E8C6D25" w:rsidR="0033105D" w:rsidRDefault="0033105D" w:rsidP="00BA588C">
      <w:pPr>
        <w:tabs>
          <w:tab w:val="left" w:pos="2733"/>
        </w:tabs>
        <w:rPr>
          <w:rFonts w:asciiTheme="majorHAnsi" w:hAnsiTheme="majorHAnsi" w:cstheme="majorHAnsi"/>
          <w:sz w:val="24"/>
        </w:rPr>
      </w:pPr>
    </w:p>
    <w:tbl>
      <w:tblPr>
        <w:tblStyle w:val="TableGrid"/>
        <w:tblW w:w="0" w:type="auto"/>
        <w:tblInd w:w="720" w:type="dxa"/>
        <w:tblLook w:val="04A0" w:firstRow="1" w:lastRow="0" w:firstColumn="1" w:lastColumn="0" w:noHBand="0" w:noVBand="1"/>
      </w:tblPr>
      <w:tblGrid>
        <w:gridCol w:w="8296"/>
      </w:tblGrid>
      <w:tr w:rsidR="0033105D" w14:paraId="67122CB6" w14:textId="77777777" w:rsidTr="00E93A64">
        <w:tc>
          <w:tcPr>
            <w:tcW w:w="9016" w:type="dxa"/>
          </w:tcPr>
          <w:p w14:paraId="21E9BC61" w14:textId="799D770C" w:rsidR="00116AE8" w:rsidRDefault="0033105D" w:rsidP="00E93A64">
            <w:pPr>
              <w:pStyle w:val="ListParagraph"/>
              <w:ind w:left="0"/>
              <w:rPr>
                <w:rFonts w:asciiTheme="majorHAnsi" w:hAnsiTheme="majorHAnsi" w:cstheme="majorHAnsi"/>
                <w:sz w:val="24"/>
              </w:rPr>
            </w:pPr>
            <w:r>
              <w:rPr>
                <w:rFonts w:asciiTheme="majorHAnsi" w:hAnsiTheme="majorHAnsi" w:cstheme="majorHAnsi"/>
                <w:sz w:val="24"/>
              </w:rPr>
              <w:t>Recommendation:</w:t>
            </w:r>
          </w:p>
          <w:p w14:paraId="4280ED08" w14:textId="4AD1FB1F" w:rsidR="0033105D" w:rsidRDefault="00116AE8" w:rsidP="00116AE8">
            <w:pPr>
              <w:pStyle w:val="ListParagraph"/>
              <w:ind w:left="0"/>
              <w:rPr>
                <w:rFonts w:asciiTheme="majorHAnsi" w:hAnsiTheme="majorHAnsi" w:cstheme="majorHAnsi"/>
                <w:sz w:val="24"/>
              </w:rPr>
            </w:pPr>
            <w:r>
              <w:rPr>
                <w:rFonts w:asciiTheme="majorHAnsi" w:hAnsiTheme="majorHAnsi" w:cstheme="majorHAnsi"/>
                <w:sz w:val="24"/>
              </w:rPr>
              <w:t xml:space="preserve">Routinely analyse intersection between Looked After children and Children </w:t>
            </w:r>
            <w:proofErr w:type="gramStart"/>
            <w:r>
              <w:rPr>
                <w:rFonts w:asciiTheme="majorHAnsi" w:hAnsiTheme="majorHAnsi" w:cstheme="majorHAnsi"/>
                <w:sz w:val="24"/>
              </w:rPr>
              <w:t>In</w:t>
            </w:r>
            <w:proofErr w:type="gramEnd"/>
            <w:r>
              <w:rPr>
                <w:rFonts w:asciiTheme="majorHAnsi" w:hAnsiTheme="majorHAnsi" w:cstheme="majorHAnsi"/>
                <w:sz w:val="24"/>
              </w:rPr>
              <w:t xml:space="preserve"> Need with LD, SEN and EHCP.</w:t>
            </w:r>
          </w:p>
        </w:tc>
      </w:tr>
    </w:tbl>
    <w:p w14:paraId="1C441F40" w14:textId="77777777" w:rsidR="0033105D" w:rsidRPr="00BA588C" w:rsidRDefault="0033105D" w:rsidP="00BA588C">
      <w:pPr>
        <w:tabs>
          <w:tab w:val="left" w:pos="2733"/>
        </w:tabs>
        <w:rPr>
          <w:rFonts w:asciiTheme="majorHAnsi" w:hAnsiTheme="majorHAnsi" w:cstheme="majorHAnsi"/>
          <w:sz w:val="24"/>
        </w:rPr>
      </w:pPr>
    </w:p>
    <w:p w14:paraId="1107659A" w14:textId="161E9EAC" w:rsidR="00C457A5" w:rsidRPr="0062294F" w:rsidRDefault="00D75631" w:rsidP="0062294F">
      <w:pPr>
        <w:pStyle w:val="Heading1"/>
      </w:pPr>
      <w:bookmarkStart w:id="20" w:name="_Toc111469678"/>
      <w:r w:rsidRPr="0062294F">
        <w:lastRenderedPageBreak/>
        <w:t>Need projections</w:t>
      </w:r>
      <w:bookmarkEnd w:id="20"/>
      <w:r w:rsidRPr="0062294F">
        <w:t xml:space="preserve"> </w:t>
      </w:r>
    </w:p>
    <w:p w14:paraId="78F0F747" w14:textId="228DB46F" w:rsidR="00C457A5" w:rsidRPr="00EA55BE" w:rsidRDefault="00C457A5" w:rsidP="005F5B2C">
      <w:pPr>
        <w:pStyle w:val="Heading3"/>
      </w:pPr>
      <w:bookmarkStart w:id="21" w:name="_Toc111469679"/>
      <w:r w:rsidRPr="00EA55BE">
        <w:t xml:space="preserve">Population projections for age 0-25 cohorts over the next ten </w:t>
      </w:r>
      <w:r w:rsidR="00C63DCD" w:rsidRPr="00EA55BE">
        <w:t>y</w:t>
      </w:r>
      <w:r w:rsidRPr="00EA55BE">
        <w:t>ears,</w:t>
      </w:r>
      <w:bookmarkEnd w:id="21"/>
    </w:p>
    <w:p w14:paraId="1FEA1783" w14:textId="77777777" w:rsidR="00EA55BE" w:rsidRDefault="00C34A75" w:rsidP="00A45093">
      <w:pPr>
        <w:keepNext/>
        <w:jc w:val="center"/>
      </w:pPr>
      <w:r>
        <w:rPr>
          <w:noProof/>
          <w:highlight w:val="magenta"/>
          <w:lang w:eastAsia="en-GB"/>
        </w:rPr>
        <w:drawing>
          <wp:inline distT="0" distB="0" distL="0" distR="0" wp14:anchorId="0B2C3E6F" wp14:editId="61148D00">
            <wp:extent cx="5389245" cy="375539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89245" cy="3755390"/>
                    </a:xfrm>
                    <a:prstGeom prst="rect">
                      <a:avLst/>
                    </a:prstGeom>
                    <a:noFill/>
                  </pic:spPr>
                </pic:pic>
              </a:graphicData>
            </a:graphic>
          </wp:inline>
        </w:drawing>
      </w:r>
    </w:p>
    <w:p w14:paraId="314FD034" w14:textId="6ED026C9" w:rsidR="00C34A75" w:rsidRDefault="00EA55BE" w:rsidP="00EA55BE">
      <w:pPr>
        <w:pStyle w:val="Caption"/>
        <w:rPr>
          <w:highlight w:val="magenta"/>
        </w:rPr>
      </w:pPr>
      <w:r>
        <w:t xml:space="preserve">Figure </w:t>
      </w:r>
      <w:r w:rsidR="00D17F76">
        <w:fldChar w:fldCharType="begin"/>
      </w:r>
      <w:r w:rsidR="00D17F76">
        <w:instrText xml:space="preserve"> SEQ Figure \* ARABIC </w:instrText>
      </w:r>
      <w:r w:rsidR="00D17F76">
        <w:fldChar w:fldCharType="separate"/>
      </w:r>
      <w:r w:rsidR="00B74160">
        <w:rPr>
          <w:noProof/>
        </w:rPr>
        <w:t>15</w:t>
      </w:r>
      <w:r w:rsidR="00D17F76">
        <w:rPr>
          <w:noProof/>
        </w:rPr>
        <w:fldChar w:fldCharType="end"/>
      </w:r>
      <w:r>
        <w:t>:  ONS population projections 2018</w:t>
      </w:r>
    </w:p>
    <w:p w14:paraId="21E906E2" w14:textId="5DFC64B1" w:rsidR="00C34A75" w:rsidRPr="00A45093" w:rsidRDefault="002100E0" w:rsidP="00C34A75">
      <w:pPr>
        <w:rPr>
          <w:rFonts w:asciiTheme="majorHAnsi" w:hAnsiTheme="majorHAnsi" w:cstheme="majorHAnsi"/>
          <w:sz w:val="24"/>
          <w:szCs w:val="24"/>
        </w:rPr>
      </w:pPr>
      <w:r w:rsidRPr="00A45093">
        <w:rPr>
          <w:rFonts w:asciiTheme="majorHAnsi" w:hAnsiTheme="majorHAnsi" w:cstheme="majorHAnsi"/>
          <w:sz w:val="24"/>
          <w:szCs w:val="24"/>
        </w:rPr>
        <w:t>Figure 1</w:t>
      </w:r>
      <w:r w:rsidR="00B74160">
        <w:rPr>
          <w:rFonts w:asciiTheme="majorHAnsi" w:hAnsiTheme="majorHAnsi" w:cstheme="majorHAnsi"/>
          <w:sz w:val="24"/>
          <w:szCs w:val="24"/>
        </w:rPr>
        <w:t>5</w:t>
      </w:r>
      <w:r w:rsidR="00EA55BE" w:rsidRPr="00A45093">
        <w:rPr>
          <w:rFonts w:asciiTheme="majorHAnsi" w:hAnsiTheme="majorHAnsi" w:cstheme="majorHAnsi"/>
          <w:sz w:val="24"/>
          <w:szCs w:val="24"/>
        </w:rPr>
        <w:t xml:space="preserve"> shows the </w:t>
      </w:r>
      <w:r w:rsidRPr="00A45093">
        <w:rPr>
          <w:rFonts w:asciiTheme="majorHAnsi" w:hAnsiTheme="majorHAnsi" w:cstheme="majorHAnsi"/>
          <w:sz w:val="24"/>
          <w:szCs w:val="24"/>
        </w:rPr>
        <w:t xml:space="preserve">general </w:t>
      </w:r>
      <w:r w:rsidR="00EA55BE" w:rsidRPr="00A45093">
        <w:rPr>
          <w:rFonts w:asciiTheme="majorHAnsi" w:hAnsiTheme="majorHAnsi" w:cstheme="majorHAnsi"/>
          <w:sz w:val="24"/>
          <w:szCs w:val="24"/>
        </w:rPr>
        <w:t>15-19 years and 20-24 years cohort will remain largest for the next decade, with a substantial increase expected past 2025. This figure will be heavily influenced by the relatively large student population which resides in York. The younger age groups which will better reflect the native population of York is anticipated to exhibit a slight decline over the next 10 years</w:t>
      </w:r>
    </w:p>
    <w:p w14:paraId="4F4B613E" w14:textId="397323C5" w:rsidR="00C457A5" w:rsidRDefault="00C457A5" w:rsidP="005F5B2C">
      <w:pPr>
        <w:pStyle w:val="Heading3"/>
      </w:pPr>
      <w:bookmarkStart w:id="22" w:name="_Toc111469680"/>
      <w:r w:rsidRPr="005F5B2C">
        <w:t>Increase in demand for EHC and S-support across decade (based on population growth)</w:t>
      </w:r>
      <w:bookmarkEnd w:id="22"/>
      <w:r w:rsidRPr="005F5B2C">
        <w:t xml:space="preserve"> </w:t>
      </w:r>
    </w:p>
    <w:p w14:paraId="11301C54" w14:textId="0D54050B" w:rsidR="003E254C" w:rsidRPr="00A45093" w:rsidRDefault="003E254C" w:rsidP="003E254C">
      <w:pPr>
        <w:rPr>
          <w:rFonts w:asciiTheme="majorHAnsi" w:hAnsiTheme="majorHAnsi" w:cstheme="majorHAnsi"/>
          <w:sz w:val="24"/>
          <w:szCs w:val="24"/>
        </w:rPr>
      </w:pPr>
      <w:r w:rsidRPr="00A45093">
        <w:rPr>
          <w:rFonts w:asciiTheme="majorHAnsi" w:hAnsiTheme="majorHAnsi" w:cstheme="majorHAnsi"/>
          <w:sz w:val="24"/>
          <w:szCs w:val="24"/>
        </w:rPr>
        <w:t xml:space="preserve">Using the PANSI tool it is possible to project future needs based on current </w:t>
      </w:r>
      <w:r w:rsidR="00116AE8" w:rsidRPr="00A45093">
        <w:rPr>
          <w:rFonts w:asciiTheme="majorHAnsi" w:hAnsiTheme="majorHAnsi" w:cstheme="majorHAnsi"/>
          <w:sz w:val="24"/>
          <w:szCs w:val="24"/>
        </w:rPr>
        <w:t>prevalence</w:t>
      </w:r>
      <w:r w:rsidRPr="00A45093">
        <w:rPr>
          <w:rFonts w:asciiTheme="majorHAnsi" w:hAnsiTheme="majorHAnsi" w:cstheme="majorHAnsi"/>
          <w:sz w:val="24"/>
          <w:szCs w:val="24"/>
        </w:rPr>
        <w:t xml:space="preserve"> rates and future anticipated demographic changes.</w:t>
      </w:r>
    </w:p>
    <w:p w14:paraId="16914404" w14:textId="77777777" w:rsidR="00A45093" w:rsidRDefault="003E254C" w:rsidP="00A45093">
      <w:pPr>
        <w:keepNext/>
        <w:jc w:val="center"/>
      </w:pPr>
      <w:r>
        <w:rPr>
          <w:noProof/>
          <w:lang w:eastAsia="en-GB"/>
        </w:rPr>
        <w:lastRenderedPageBreak/>
        <w:drawing>
          <wp:inline distT="0" distB="0" distL="0" distR="0" wp14:anchorId="5B162C6B" wp14:editId="4B04DA6B">
            <wp:extent cx="4584700" cy="27559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E1B3917" w14:textId="5ACE9873" w:rsidR="003E254C" w:rsidRDefault="00A45093" w:rsidP="00A45093">
      <w:pPr>
        <w:pStyle w:val="Caption"/>
        <w:jc w:val="center"/>
      </w:pPr>
      <w:r>
        <w:t xml:space="preserve">Figure </w:t>
      </w:r>
      <w:r w:rsidR="00D17F76">
        <w:fldChar w:fldCharType="begin"/>
      </w:r>
      <w:r w:rsidR="00D17F76">
        <w:instrText xml:space="preserve"> SEQ Figure \* ARABIC </w:instrText>
      </w:r>
      <w:r w:rsidR="00D17F76">
        <w:fldChar w:fldCharType="separate"/>
      </w:r>
      <w:r w:rsidR="00B74160">
        <w:rPr>
          <w:noProof/>
        </w:rPr>
        <w:t>16</w:t>
      </w:r>
      <w:r w:rsidR="00D17F76">
        <w:rPr>
          <w:noProof/>
        </w:rPr>
        <w:fldChar w:fldCharType="end"/>
      </w:r>
      <w:r>
        <w:t>: PANSI tool predictions of numbers of people with impaired mobility, hearing loss and visual impairment by age in City of York</w:t>
      </w:r>
    </w:p>
    <w:p w14:paraId="65B8C606" w14:textId="77777777" w:rsidR="00A45093" w:rsidRDefault="003E254C" w:rsidP="00A45093">
      <w:pPr>
        <w:keepNext/>
        <w:jc w:val="center"/>
      </w:pPr>
      <w:r>
        <w:rPr>
          <w:noProof/>
          <w:lang w:eastAsia="en-GB"/>
        </w:rPr>
        <w:drawing>
          <wp:inline distT="0" distB="0" distL="0" distR="0" wp14:anchorId="3887F4AE" wp14:editId="52C27ADF">
            <wp:extent cx="4584700" cy="27559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C3F3253" w14:textId="62013F26" w:rsidR="003E254C" w:rsidRDefault="00A45093" w:rsidP="00A45093">
      <w:pPr>
        <w:pStyle w:val="Caption"/>
        <w:jc w:val="center"/>
      </w:pPr>
      <w:r>
        <w:t xml:space="preserve">Figure </w:t>
      </w:r>
      <w:r w:rsidR="00D17F76">
        <w:fldChar w:fldCharType="begin"/>
      </w:r>
      <w:r w:rsidR="00D17F76">
        <w:instrText xml:space="preserve"> SEQ Figure \* ARABIC </w:instrText>
      </w:r>
      <w:r w:rsidR="00D17F76">
        <w:fldChar w:fldCharType="separate"/>
      </w:r>
      <w:r w:rsidR="00B74160">
        <w:rPr>
          <w:noProof/>
        </w:rPr>
        <w:t>17</w:t>
      </w:r>
      <w:r w:rsidR="00D17F76">
        <w:rPr>
          <w:noProof/>
        </w:rPr>
        <w:fldChar w:fldCharType="end"/>
      </w:r>
      <w:r>
        <w:t>:</w:t>
      </w:r>
      <w:r w:rsidRPr="00650759">
        <w:t xml:space="preserve">PANSI tool predictions of numbers of people with </w:t>
      </w:r>
      <w:r>
        <w:t xml:space="preserve">ASD and learning disability </w:t>
      </w:r>
      <w:r w:rsidRPr="00650759">
        <w:t>by age in City of York</w:t>
      </w:r>
    </w:p>
    <w:p w14:paraId="0D415605" w14:textId="50432715" w:rsidR="003E254C" w:rsidRPr="003E254C" w:rsidRDefault="003E254C" w:rsidP="003E254C">
      <w:r>
        <w:t>Both the figures</w:t>
      </w:r>
      <w:r w:rsidR="00A45093">
        <w:t xml:space="preserve"> 1</w:t>
      </w:r>
      <w:r w:rsidR="00B74160">
        <w:t>6</w:t>
      </w:r>
      <w:r w:rsidR="00A45093">
        <w:t xml:space="preserve"> and 1</w:t>
      </w:r>
      <w:r w:rsidR="00B74160">
        <w:t>7</w:t>
      </w:r>
      <w:r>
        <w:t xml:space="preserve"> indicate relatively small changes in total numbers of individuals aged 18-24 with a variety of needs. Numbers are expected to peak around 2030 to 2035 before falling again, following the anticipated demographic changes. Note that this </w:t>
      </w:r>
      <w:r w:rsidR="00811681">
        <w:t xml:space="preserve">is </w:t>
      </w:r>
      <w:r>
        <w:t xml:space="preserve">a blunt instrument and does not model the effect of new developments and other broader issues which may affect inward and outward migration. </w:t>
      </w:r>
    </w:p>
    <w:p w14:paraId="04A8AEAF" w14:textId="3E5A85B3" w:rsidR="00C457A5" w:rsidRDefault="00C457A5" w:rsidP="005F5B2C">
      <w:pPr>
        <w:pStyle w:val="Heading3"/>
      </w:pPr>
      <w:bookmarkStart w:id="23" w:name="_Toc111469681"/>
      <w:r w:rsidRPr="005F5B2C">
        <w:t>Increased demand for EHC and S</w:t>
      </w:r>
      <w:r w:rsidR="00155A69">
        <w:t xml:space="preserve">EN </w:t>
      </w:r>
      <w:r w:rsidRPr="005F5B2C">
        <w:t>support across decade (based on pop. growth and prevalence)</w:t>
      </w:r>
      <w:bookmarkEnd w:id="23"/>
      <w:r w:rsidRPr="005F5B2C">
        <w:t xml:space="preserve"> </w:t>
      </w:r>
    </w:p>
    <w:p w14:paraId="58E27977" w14:textId="3E92FE86" w:rsidR="00286B5D" w:rsidRDefault="00286B5D" w:rsidP="00286B5D"/>
    <w:p w14:paraId="13195E4E" w14:textId="77777777" w:rsidR="00792FD0" w:rsidRDefault="00C619B4" w:rsidP="00792FD0">
      <w:pPr>
        <w:keepNext/>
        <w:jc w:val="center"/>
      </w:pPr>
      <w:r>
        <w:rPr>
          <w:noProof/>
        </w:rPr>
        <w:lastRenderedPageBreak/>
        <w:drawing>
          <wp:inline distT="0" distB="0" distL="0" distR="0" wp14:anchorId="2AE2AF15" wp14:editId="4F12C13A">
            <wp:extent cx="5731510" cy="2922270"/>
            <wp:effectExtent l="0" t="0" r="2540" b="11430"/>
            <wp:docPr id="18" name="Chart 18">
              <a:extLst xmlns:a="http://schemas.openxmlformats.org/drawingml/2006/main">
                <a:ext uri="{FF2B5EF4-FFF2-40B4-BE49-F238E27FC236}">
                  <a16:creationId xmlns:a16="http://schemas.microsoft.com/office/drawing/2014/main" id="{F53A3A00-D726-4AFB-961B-53D396331C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F439BF2" w14:textId="036BBA4D" w:rsidR="00792FD0" w:rsidRDefault="00792FD0" w:rsidP="00792FD0">
      <w:pPr>
        <w:pStyle w:val="Caption"/>
        <w:jc w:val="center"/>
      </w:pPr>
      <w:r>
        <w:t xml:space="preserve">Figure </w:t>
      </w:r>
      <w:r w:rsidR="00D17F76">
        <w:fldChar w:fldCharType="begin"/>
      </w:r>
      <w:r w:rsidR="00D17F76">
        <w:instrText xml:space="preserve"> SEQ Figure</w:instrText>
      </w:r>
      <w:r w:rsidR="00D17F76">
        <w:instrText xml:space="preserve"> \* ARABIC </w:instrText>
      </w:r>
      <w:r w:rsidR="00D17F76">
        <w:fldChar w:fldCharType="separate"/>
      </w:r>
      <w:r w:rsidR="00B74160">
        <w:rPr>
          <w:noProof/>
        </w:rPr>
        <w:t>18</w:t>
      </w:r>
      <w:r w:rsidR="00D17F76">
        <w:rPr>
          <w:noProof/>
        </w:rPr>
        <w:fldChar w:fldCharType="end"/>
      </w:r>
      <w:r>
        <w:t xml:space="preserve">: </w:t>
      </w:r>
      <w:r w:rsidRPr="005970A6">
        <w:t>Historic trends in prevalence of SEN support and EHCP in City of York and England</w:t>
      </w:r>
      <w:r w:rsidR="00F50978">
        <w:t xml:space="preserve"> (Source SEN2 tool)</w:t>
      </w:r>
      <w:r w:rsidRPr="005970A6">
        <w:t>.</w:t>
      </w:r>
    </w:p>
    <w:p w14:paraId="5B04D6FA" w14:textId="2945B3E8" w:rsidR="003E254C" w:rsidRDefault="00F50978" w:rsidP="00286B5D">
      <w:r>
        <w:t>Figure 1</w:t>
      </w:r>
      <w:r w:rsidR="00B74160">
        <w:t>8</w:t>
      </w:r>
      <w:r>
        <w:t xml:space="preserve"> shows data obtained from the SEN2 tool for prevalence of SEN needs and EHCP in York and England. York’s SEN support rate trends below that of </w:t>
      </w:r>
      <w:proofErr w:type="gramStart"/>
      <w:r>
        <w:t>England, and</w:t>
      </w:r>
      <w:proofErr w:type="gramEnd"/>
      <w:r>
        <w:t xml:space="preserve"> follows a line of best fit where the prevalence increases </w:t>
      </w:r>
      <w:r w:rsidR="00B52F0F">
        <w:t xml:space="preserve">0.04% (2 </w:t>
      </w:r>
      <w:proofErr w:type="spellStart"/>
      <w:r w:rsidR="00B52F0F">
        <w:t>d.p.</w:t>
      </w:r>
      <w:proofErr w:type="spellEnd"/>
      <w:r w:rsidR="00B52F0F">
        <w:t>) each year with an R</w:t>
      </w:r>
      <w:r w:rsidR="00B52F0F">
        <w:rPr>
          <w:vertAlign w:val="superscript"/>
        </w:rPr>
        <w:t>2</w:t>
      </w:r>
      <w:r w:rsidR="00B52F0F">
        <w:t xml:space="preserve"> of 0.102. The prevalence of EHCP similarly follows the shape of the national trend but below. A line of best fit sees </w:t>
      </w:r>
      <w:proofErr w:type="spellStart"/>
      <w:r w:rsidR="00B52F0F">
        <w:t>and</w:t>
      </w:r>
      <w:proofErr w:type="spellEnd"/>
      <w:r w:rsidR="00B52F0F">
        <w:t xml:space="preserve"> increase of 0.16% (2 </w:t>
      </w:r>
      <w:proofErr w:type="spellStart"/>
      <w:r w:rsidR="00B52F0F">
        <w:t>d.p.</w:t>
      </w:r>
      <w:proofErr w:type="spellEnd"/>
      <w:r w:rsidR="00B52F0F">
        <w:t>) with a fit of R</w:t>
      </w:r>
      <w:r w:rsidR="00B52F0F">
        <w:rPr>
          <w:vertAlign w:val="superscript"/>
        </w:rPr>
        <w:t>2</w:t>
      </w:r>
      <w:r w:rsidR="00B52F0F">
        <w:t>=0.9131.</w:t>
      </w:r>
    </w:p>
    <w:p w14:paraId="7213F6A9" w14:textId="77777777" w:rsidR="00F50978" w:rsidRDefault="00F50978" w:rsidP="0050440D">
      <w:pPr>
        <w:keepNext/>
        <w:jc w:val="center"/>
      </w:pPr>
      <w:r>
        <w:rPr>
          <w:noProof/>
        </w:rPr>
        <w:drawing>
          <wp:inline distT="0" distB="0" distL="0" distR="0" wp14:anchorId="59A8A163" wp14:editId="4626D15A">
            <wp:extent cx="5592258" cy="3361551"/>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04238" cy="3368752"/>
                    </a:xfrm>
                    <a:prstGeom prst="rect">
                      <a:avLst/>
                    </a:prstGeom>
                    <a:noFill/>
                  </pic:spPr>
                </pic:pic>
              </a:graphicData>
            </a:graphic>
          </wp:inline>
        </w:drawing>
      </w:r>
    </w:p>
    <w:p w14:paraId="761D68F3" w14:textId="4D38917E" w:rsidR="007F3B1E" w:rsidRDefault="00F50978" w:rsidP="00F50978">
      <w:pPr>
        <w:pStyle w:val="Caption"/>
      </w:pPr>
      <w:r>
        <w:t xml:space="preserve">Figure </w:t>
      </w:r>
      <w:r w:rsidR="00D17F76">
        <w:fldChar w:fldCharType="begin"/>
      </w:r>
      <w:r w:rsidR="00D17F76">
        <w:instrText xml:space="preserve"> SEQ Figure \* ARABIC </w:instrText>
      </w:r>
      <w:r w:rsidR="00D17F76">
        <w:fldChar w:fldCharType="separate"/>
      </w:r>
      <w:r w:rsidR="00B74160">
        <w:rPr>
          <w:noProof/>
        </w:rPr>
        <w:t>19</w:t>
      </w:r>
      <w:r w:rsidR="00D17F76">
        <w:rPr>
          <w:noProof/>
        </w:rPr>
        <w:fldChar w:fldCharType="end"/>
      </w:r>
      <w:r>
        <w:t xml:space="preserve">: Modelled number of </w:t>
      </w:r>
      <w:proofErr w:type="gramStart"/>
      <w:r>
        <w:t>5-19 year olds</w:t>
      </w:r>
      <w:proofErr w:type="gramEnd"/>
      <w:r>
        <w:t xml:space="preserve"> with EHCP and SEN</w:t>
      </w:r>
    </w:p>
    <w:p w14:paraId="5D62825B" w14:textId="051B836E" w:rsidR="007F3B1E" w:rsidRDefault="00F50978" w:rsidP="00286B5D">
      <w:r>
        <w:t>Figure 1</w:t>
      </w:r>
      <w:r w:rsidR="00B74160">
        <w:t>9</w:t>
      </w:r>
      <w:r>
        <w:t xml:space="preserve"> is devised from ONS published population predictions up to 2040 with the extrapolated increasing rates of SEN and EHCP observed in the City of York since 2015. Number </w:t>
      </w:r>
      <w:proofErr w:type="gramStart"/>
      <w:r>
        <w:t>5-19 year olds</w:t>
      </w:r>
      <w:proofErr w:type="gramEnd"/>
      <w:r>
        <w:t xml:space="preserve"> with SEN is anticipated to remain fair</w:t>
      </w:r>
      <w:r w:rsidR="00811681">
        <w:t>ly</w:t>
      </w:r>
      <w:r>
        <w:t xml:space="preserve"> static up to 2040, the number of 5-19 year olds is expected to double by 2040 if the increase in prevalence over the last 5 years continues at the current rate. This </w:t>
      </w:r>
      <w:r>
        <w:lastRenderedPageBreak/>
        <w:t xml:space="preserve">simple projection becomes increasingly speculative the further from the present it is calculated, EHCP is more sensitive to change due to the relatively lower </w:t>
      </w:r>
      <w:r w:rsidR="0050440D">
        <w:t>prevalence</w:t>
      </w:r>
      <w:r>
        <w:t xml:space="preserve">. </w:t>
      </w:r>
    </w:p>
    <w:p w14:paraId="6FE3E08E" w14:textId="77777777" w:rsidR="007F3B1E" w:rsidRDefault="007F3B1E" w:rsidP="00286B5D"/>
    <w:tbl>
      <w:tblPr>
        <w:tblStyle w:val="TableGrid"/>
        <w:tblW w:w="0" w:type="auto"/>
        <w:tblInd w:w="720" w:type="dxa"/>
        <w:tblLook w:val="04A0" w:firstRow="1" w:lastRow="0" w:firstColumn="1" w:lastColumn="0" w:noHBand="0" w:noVBand="1"/>
      </w:tblPr>
      <w:tblGrid>
        <w:gridCol w:w="8296"/>
      </w:tblGrid>
      <w:tr w:rsidR="0033105D" w14:paraId="51EB2CD3" w14:textId="77777777" w:rsidTr="00E93A64">
        <w:tc>
          <w:tcPr>
            <w:tcW w:w="9016" w:type="dxa"/>
          </w:tcPr>
          <w:p w14:paraId="607CDB8C" w14:textId="77777777" w:rsidR="0033105D" w:rsidRDefault="0033105D" w:rsidP="00E93A64">
            <w:pPr>
              <w:pStyle w:val="ListParagraph"/>
              <w:ind w:left="0"/>
              <w:rPr>
                <w:rFonts w:asciiTheme="majorHAnsi" w:hAnsiTheme="majorHAnsi" w:cstheme="majorHAnsi"/>
                <w:sz w:val="24"/>
              </w:rPr>
            </w:pPr>
            <w:r>
              <w:rPr>
                <w:rFonts w:asciiTheme="majorHAnsi" w:hAnsiTheme="majorHAnsi" w:cstheme="majorHAnsi"/>
                <w:sz w:val="24"/>
              </w:rPr>
              <w:t>Recommendation:</w:t>
            </w:r>
          </w:p>
          <w:p w14:paraId="30FF6C51" w14:textId="17812B52" w:rsidR="0033105D" w:rsidRDefault="001C4351" w:rsidP="00E93A64">
            <w:pPr>
              <w:pStyle w:val="ListParagraph"/>
              <w:ind w:left="0"/>
              <w:rPr>
                <w:rFonts w:asciiTheme="majorHAnsi" w:hAnsiTheme="majorHAnsi" w:cstheme="majorHAnsi"/>
                <w:sz w:val="24"/>
              </w:rPr>
            </w:pPr>
            <w:r>
              <w:rPr>
                <w:rFonts w:asciiTheme="majorHAnsi" w:hAnsiTheme="majorHAnsi" w:cstheme="majorHAnsi"/>
                <w:sz w:val="24"/>
              </w:rPr>
              <w:t>Continue to benchmark proportion of pupils with SEN and EHCP against national data</w:t>
            </w:r>
            <w:r w:rsidR="0050440D">
              <w:rPr>
                <w:rFonts w:asciiTheme="majorHAnsi" w:hAnsiTheme="majorHAnsi" w:cstheme="majorHAnsi"/>
                <w:sz w:val="24"/>
              </w:rPr>
              <w:t xml:space="preserve"> to refine future predications.</w:t>
            </w:r>
          </w:p>
        </w:tc>
      </w:tr>
    </w:tbl>
    <w:p w14:paraId="5476BD2A" w14:textId="77777777" w:rsidR="0033105D" w:rsidRPr="00286B5D" w:rsidRDefault="0033105D" w:rsidP="00286B5D"/>
    <w:sectPr w:rsidR="0033105D" w:rsidRPr="00286B5D">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29C0" w14:textId="77777777" w:rsidR="00746E6F" w:rsidRDefault="00746E6F" w:rsidP="00346786">
      <w:pPr>
        <w:spacing w:after="0" w:line="240" w:lineRule="auto"/>
      </w:pPr>
      <w:r>
        <w:separator/>
      </w:r>
    </w:p>
  </w:endnote>
  <w:endnote w:type="continuationSeparator" w:id="0">
    <w:p w14:paraId="6FBC4A6F" w14:textId="77777777" w:rsidR="00746E6F" w:rsidRDefault="00746E6F" w:rsidP="0034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621038"/>
      <w:docPartObj>
        <w:docPartGallery w:val="Page Numbers (Bottom of Page)"/>
        <w:docPartUnique/>
      </w:docPartObj>
    </w:sdtPr>
    <w:sdtEndPr>
      <w:rPr>
        <w:noProof/>
      </w:rPr>
    </w:sdtEndPr>
    <w:sdtContent>
      <w:p w14:paraId="60B25A33" w14:textId="37CD2A84" w:rsidR="00746E6F" w:rsidRDefault="00746E6F">
        <w:pPr>
          <w:pStyle w:val="Footer"/>
          <w:jc w:val="center"/>
        </w:pPr>
        <w:r>
          <w:fldChar w:fldCharType="begin"/>
        </w:r>
        <w:r>
          <w:instrText xml:space="preserve"> PAGE   \* MERGEFORMAT </w:instrText>
        </w:r>
        <w:r>
          <w:fldChar w:fldCharType="separate"/>
        </w:r>
        <w:r w:rsidR="00F3573D">
          <w:rPr>
            <w:noProof/>
          </w:rPr>
          <w:t>1</w:t>
        </w:r>
        <w:r>
          <w:rPr>
            <w:noProof/>
          </w:rPr>
          <w:fldChar w:fldCharType="end"/>
        </w:r>
      </w:p>
    </w:sdtContent>
  </w:sdt>
  <w:p w14:paraId="030A45BB" w14:textId="77777777" w:rsidR="00746E6F" w:rsidRDefault="00746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FEA2" w14:textId="77777777" w:rsidR="00746E6F" w:rsidRDefault="00746E6F" w:rsidP="00346786">
      <w:pPr>
        <w:spacing w:after="0" w:line="240" w:lineRule="auto"/>
      </w:pPr>
      <w:r>
        <w:separator/>
      </w:r>
    </w:p>
  </w:footnote>
  <w:footnote w:type="continuationSeparator" w:id="0">
    <w:p w14:paraId="1E90AB29" w14:textId="77777777" w:rsidR="00746E6F" w:rsidRDefault="00746E6F" w:rsidP="00346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E321" w14:textId="236D10A0" w:rsidR="00746E6F" w:rsidRDefault="00D17F76">
    <w:pPr>
      <w:pStyle w:val="Header"/>
    </w:pPr>
    <w:sdt>
      <w:sdtPr>
        <w:id w:val="-114985963"/>
        <w:docPartObj>
          <w:docPartGallery w:val="Watermarks"/>
          <w:docPartUnique/>
        </w:docPartObj>
      </w:sdtPr>
      <w:sdtEndPr/>
      <w:sdtContent>
        <w:r>
          <w:rPr>
            <w:noProof/>
            <w:lang w:val="en-US"/>
          </w:rPr>
          <w:pict w14:anchorId="77FFC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82319">
      <w:t>V1.</w:t>
    </w:r>
    <w: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1F2C"/>
    <w:multiLevelType w:val="multilevel"/>
    <w:tmpl w:val="33E08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7677F"/>
    <w:multiLevelType w:val="hybridMultilevel"/>
    <w:tmpl w:val="9308460C"/>
    <w:lvl w:ilvl="0" w:tplc="67AA749A">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95474"/>
    <w:multiLevelType w:val="hybridMultilevel"/>
    <w:tmpl w:val="FC6EC420"/>
    <w:lvl w:ilvl="0" w:tplc="05DC29D4">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B5938"/>
    <w:multiLevelType w:val="hybridMultilevel"/>
    <w:tmpl w:val="7CC28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E03D44"/>
    <w:multiLevelType w:val="hybridMultilevel"/>
    <w:tmpl w:val="3EF6D96A"/>
    <w:lvl w:ilvl="0" w:tplc="67AA749A">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B2C0B"/>
    <w:multiLevelType w:val="hybridMultilevel"/>
    <w:tmpl w:val="B396EE4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A5"/>
    <w:rsid w:val="000014CA"/>
    <w:rsid w:val="00007E2E"/>
    <w:rsid w:val="0001506A"/>
    <w:rsid w:val="000223A6"/>
    <w:rsid w:val="00033507"/>
    <w:rsid w:val="00074424"/>
    <w:rsid w:val="00091DFE"/>
    <w:rsid w:val="0009672C"/>
    <w:rsid w:val="000D1EC3"/>
    <w:rsid w:val="000E21B4"/>
    <w:rsid w:val="00116AE8"/>
    <w:rsid w:val="0014201D"/>
    <w:rsid w:val="00155A69"/>
    <w:rsid w:val="00180D72"/>
    <w:rsid w:val="001C4351"/>
    <w:rsid w:val="001C492F"/>
    <w:rsid w:val="001E188F"/>
    <w:rsid w:val="001E4D1F"/>
    <w:rsid w:val="002100E0"/>
    <w:rsid w:val="0022271E"/>
    <w:rsid w:val="0022666D"/>
    <w:rsid w:val="0026634A"/>
    <w:rsid w:val="00286B5D"/>
    <w:rsid w:val="00297AAB"/>
    <w:rsid w:val="002A371A"/>
    <w:rsid w:val="00321E13"/>
    <w:rsid w:val="00327831"/>
    <w:rsid w:val="0033105D"/>
    <w:rsid w:val="00334DE5"/>
    <w:rsid w:val="00336259"/>
    <w:rsid w:val="0033707F"/>
    <w:rsid w:val="0034095F"/>
    <w:rsid w:val="00341424"/>
    <w:rsid w:val="00346786"/>
    <w:rsid w:val="00354F77"/>
    <w:rsid w:val="003910BC"/>
    <w:rsid w:val="003A01E0"/>
    <w:rsid w:val="003D1986"/>
    <w:rsid w:val="003E254C"/>
    <w:rsid w:val="00403838"/>
    <w:rsid w:val="004042E9"/>
    <w:rsid w:val="004175BC"/>
    <w:rsid w:val="00426C87"/>
    <w:rsid w:val="00466381"/>
    <w:rsid w:val="00475DCD"/>
    <w:rsid w:val="004A4E08"/>
    <w:rsid w:val="004D0916"/>
    <w:rsid w:val="004E016E"/>
    <w:rsid w:val="004E7C71"/>
    <w:rsid w:val="00504166"/>
    <w:rsid w:val="0050440D"/>
    <w:rsid w:val="00534A10"/>
    <w:rsid w:val="00536125"/>
    <w:rsid w:val="005865FF"/>
    <w:rsid w:val="005A024D"/>
    <w:rsid w:val="005B72E3"/>
    <w:rsid w:val="005C0FC1"/>
    <w:rsid w:val="005E0B49"/>
    <w:rsid w:val="005E2C66"/>
    <w:rsid w:val="005E2D52"/>
    <w:rsid w:val="005F5B2C"/>
    <w:rsid w:val="00605446"/>
    <w:rsid w:val="00607EDE"/>
    <w:rsid w:val="0062294F"/>
    <w:rsid w:val="00632468"/>
    <w:rsid w:val="00640E16"/>
    <w:rsid w:val="00647CED"/>
    <w:rsid w:val="0067438D"/>
    <w:rsid w:val="006921B2"/>
    <w:rsid w:val="00694523"/>
    <w:rsid w:val="006A2345"/>
    <w:rsid w:val="006A4A3C"/>
    <w:rsid w:val="006B469D"/>
    <w:rsid w:val="006D12B4"/>
    <w:rsid w:val="006D6ABE"/>
    <w:rsid w:val="006E3B0C"/>
    <w:rsid w:val="006E3EED"/>
    <w:rsid w:val="006E6DD6"/>
    <w:rsid w:val="006F03FE"/>
    <w:rsid w:val="0070501D"/>
    <w:rsid w:val="007100C9"/>
    <w:rsid w:val="0071111C"/>
    <w:rsid w:val="00746E6F"/>
    <w:rsid w:val="00752BF9"/>
    <w:rsid w:val="00755430"/>
    <w:rsid w:val="0078087E"/>
    <w:rsid w:val="00792D4D"/>
    <w:rsid w:val="00792FD0"/>
    <w:rsid w:val="007B22E4"/>
    <w:rsid w:val="007B47F1"/>
    <w:rsid w:val="007C16DE"/>
    <w:rsid w:val="007F3B1E"/>
    <w:rsid w:val="00811681"/>
    <w:rsid w:val="008118B3"/>
    <w:rsid w:val="008650CC"/>
    <w:rsid w:val="00882319"/>
    <w:rsid w:val="0089440E"/>
    <w:rsid w:val="008B0B37"/>
    <w:rsid w:val="008B136D"/>
    <w:rsid w:val="00912CFA"/>
    <w:rsid w:val="00917080"/>
    <w:rsid w:val="00921736"/>
    <w:rsid w:val="0093477B"/>
    <w:rsid w:val="00944B87"/>
    <w:rsid w:val="009759CD"/>
    <w:rsid w:val="00985083"/>
    <w:rsid w:val="00992C38"/>
    <w:rsid w:val="009A7E28"/>
    <w:rsid w:val="009D033C"/>
    <w:rsid w:val="009D48D9"/>
    <w:rsid w:val="009F2D90"/>
    <w:rsid w:val="00A05507"/>
    <w:rsid w:val="00A10B4D"/>
    <w:rsid w:val="00A11A9E"/>
    <w:rsid w:val="00A1405F"/>
    <w:rsid w:val="00A45093"/>
    <w:rsid w:val="00A54648"/>
    <w:rsid w:val="00A673F7"/>
    <w:rsid w:val="00A70CDE"/>
    <w:rsid w:val="00A75673"/>
    <w:rsid w:val="00B147CD"/>
    <w:rsid w:val="00B2053D"/>
    <w:rsid w:val="00B23D27"/>
    <w:rsid w:val="00B52F0F"/>
    <w:rsid w:val="00B74160"/>
    <w:rsid w:val="00BA588C"/>
    <w:rsid w:val="00BB522D"/>
    <w:rsid w:val="00BD2195"/>
    <w:rsid w:val="00BD7DCD"/>
    <w:rsid w:val="00BF7B1B"/>
    <w:rsid w:val="00C23556"/>
    <w:rsid w:val="00C34A75"/>
    <w:rsid w:val="00C41879"/>
    <w:rsid w:val="00C427FF"/>
    <w:rsid w:val="00C457A5"/>
    <w:rsid w:val="00C50B54"/>
    <w:rsid w:val="00C619B4"/>
    <w:rsid w:val="00C63DCD"/>
    <w:rsid w:val="00C6540A"/>
    <w:rsid w:val="00C76729"/>
    <w:rsid w:val="00C95745"/>
    <w:rsid w:val="00CD250D"/>
    <w:rsid w:val="00D17F76"/>
    <w:rsid w:val="00D2369F"/>
    <w:rsid w:val="00D23801"/>
    <w:rsid w:val="00D504D7"/>
    <w:rsid w:val="00D64FC1"/>
    <w:rsid w:val="00D746B7"/>
    <w:rsid w:val="00D75631"/>
    <w:rsid w:val="00DA5809"/>
    <w:rsid w:val="00E52FEF"/>
    <w:rsid w:val="00E61B5C"/>
    <w:rsid w:val="00E763FC"/>
    <w:rsid w:val="00EA55BE"/>
    <w:rsid w:val="00EC3D19"/>
    <w:rsid w:val="00EC467F"/>
    <w:rsid w:val="00F3573D"/>
    <w:rsid w:val="00F41F14"/>
    <w:rsid w:val="00F50978"/>
    <w:rsid w:val="00F84F00"/>
    <w:rsid w:val="00F930D9"/>
    <w:rsid w:val="00FC7E48"/>
    <w:rsid w:val="00FE5B93"/>
    <w:rsid w:val="00FE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3E9B71"/>
  <w15:chartTrackingRefBased/>
  <w15:docId w15:val="{7B944337-5C45-41F9-9A36-A509DFB5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7A5"/>
  </w:style>
  <w:style w:type="paragraph" w:styleId="Heading1">
    <w:name w:val="heading 1"/>
    <w:basedOn w:val="Normal"/>
    <w:next w:val="Normal"/>
    <w:link w:val="Heading1Char"/>
    <w:uiPriority w:val="9"/>
    <w:qFormat/>
    <w:rsid w:val="00B23D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3D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54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7A5"/>
    <w:pPr>
      <w:ind w:left="720"/>
      <w:contextualSpacing/>
    </w:pPr>
  </w:style>
  <w:style w:type="character" w:styleId="Hyperlink">
    <w:name w:val="Hyperlink"/>
    <w:basedOn w:val="DefaultParagraphFont"/>
    <w:uiPriority w:val="99"/>
    <w:unhideWhenUsed/>
    <w:rsid w:val="00C457A5"/>
    <w:rPr>
      <w:color w:val="0563C1" w:themeColor="hyperlink"/>
      <w:u w:val="single"/>
    </w:rPr>
  </w:style>
  <w:style w:type="character" w:customStyle="1" w:styleId="Heading1Char">
    <w:name w:val="Heading 1 Char"/>
    <w:basedOn w:val="DefaultParagraphFont"/>
    <w:link w:val="Heading1"/>
    <w:uiPriority w:val="9"/>
    <w:rsid w:val="00B23D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3D2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76729"/>
    <w:pPr>
      <w:outlineLvl w:val="9"/>
    </w:pPr>
    <w:rPr>
      <w:lang w:val="en-US"/>
    </w:rPr>
  </w:style>
  <w:style w:type="paragraph" w:styleId="TOC2">
    <w:name w:val="toc 2"/>
    <w:basedOn w:val="Normal"/>
    <w:next w:val="Normal"/>
    <w:autoRedefine/>
    <w:uiPriority w:val="39"/>
    <w:unhideWhenUsed/>
    <w:rsid w:val="00C76729"/>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76729"/>
    <w:pPr>
      <w:spacing w:after="100"/>
    </w:pPr>
    <w:rPr>
      <w:rFonts w:eastAsiaTheme="minorEastAsia" w:cs="Times New Roman"/>
      <w:lang w:val="en-US"/>
    </w:rPr>
  </w:style>
  <w:style w:type="paragraph" w:styleId="TOC3">
    <w:name w:val="toc 3"/>
    <w:basedOn w:val="Normal"/>
    <w:next w:val="Normal"/>
    <w:autoRedefine/>
    <w:uiPriority w:val="39"/>
    <w:unhideWhenUsed/>
    <w:rsid w:val="00C76729"/>
    <w:pPr>
      <w:spacing w:after="100"/>
      <w:ind w:left="440"/>
    </w:pPr>
    <w:rPr>
      <w:rFonts w:eastAsiaTheme="minorEastAsia" w:cs="Times New Roman"/>
      <w:lang w:val="en-US"/>
    </w:rPr>
  </w:style>
  <w:style w:type="paragraph" w:styleId="Title">
    <w:name w:val="Title"/>
    <w:basedOn w:val="Normal"/>
    <w:next w:val="Normal"/>
    <w:link w:val="TitleChar"/>
    <w:uiPriority w:val="10"/>
    <w:qFormat/>
    <w:rsid w:val="00C76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7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67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6729"/>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4A4E08"/>
    <w:rPr>
      <w:sz w:val="16"/>
      <w:szCs w:val="16"/>
    </w:rPr>
  </w:style>
  <w:style w:type="paragraph" w:styleId="CommentText">
    <w:name w:val="annotation text"/>
    <w:basedOn w:val="Normal"/>
    <w:link w:val="CommentTextChar"/>
    <w:uiPriority w:val="99"/>
    <w:semiHidden/>
    <w:unhideWhenUsed/>
    <w:rsid w:val="004A4E08"/>
    <w:pPr>
      <w:spacing w:line="240" w:lineRule="auto"/>
    </w:pPr>
    <w:rPr>
      <w:sz w:val="20"/>
      <w:szCs w:val="20"/>
    </w:rPr>
  </w:style>
  <w:style w:type="character" w:customStyle="1" w:styleId="CommentTextChar">
    <w:name w:val="Comment Text Char"/>
    <w:basedOn w:val="DefaultParagraphFont"/>
    <w:link w:val="CommentText"/>
    <w:uiPriority w:val="99"/>
    <w:semiHidden/>
    <w:rsid w:val="004A4E08"/>
    <w:rPr>
      <w:sz w:val="20"/>
      <w:szCs w:val="20"/>
    </w:rPr>
  </w:style>
  <w:style w:type="paragraph" w:styleId="CommentSubject">
    <w:name w:val="annotation subject"/>
    <w:basedOn w:val="CommentText"/>
    <w:next w:val="CommentText"/>
    <w:link w:val="CommentSubjectChar"/>
    <w:uiPriority w:val="99"/>
    <w:semiHidden/>
    <w:unhideWhenUsed/>
    <w:rsid w:val="004A4E08"/>
    <w:rPr>
      <w:b/>
      <w:bCs/>
    </w:rPr>
  </w:style>
  <w:style w:type="character" w:customStyle="1" w:styleId="CommentSubjectChar">
    <w:name w:val="Comment Subject Char"/>
    <w:basedOn w:val="CommentTextChar"/>
    <w:link w:val="CommentSubject"/>
    <w:uiPriority w:val="99"/>
    <w:semiHidden/>
    <w:rsid w:val="004A4E08"/>
    <w:rPr>
      <w:b/>
      <w:bCs/>
      <w:sz w:val="20"/>
      <w:szCs w:val="20"/>
    </w:rPr>
  </w:style>
  <w:style w:type="paragraph" w:styleId="BalloonText">
    <w:name w:val="Balloon Text"/>
    <w:basedOn w:val="Normal"/>
    <w:link w:val="BalloonTextChar"/>
    <w:uiPriority w:val="99"/>
    <w:semiHidden/>
    <w:unhideWhenUsed/>
    <w:rsid w:val="004A4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E08"/>
    <w:rPr>
      <w:rFonts w:ascii="Segoe UI" w:hAnsi="Segoe UI" w:cs="Segoe UI"/>
      <w:sz w:val="18"/>
      <w:szCs w:val="18"/>
    </w:rPr>
  </w:style>
  <w:style w:type="paragraph" w:styleId="Header">
    <w:name w:val="header"/>
    <w:basedOn w:val="Normal"/>
    <w:link w:val="HeaderChar"/>
    <w:uiPriority w:val="99"/>
    <w:unhideWhenUsed/>
    <w:rsid w:val="00346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786"/>
  </w:style>
  <w:style w:type="paragraph" w:styleId="Footer">
    <w:name w:val="footer"/>
    <w:basedOn w:val="Normal"/>
    <w:link w:val="FooterChar"/>
    <w:uiPriority w:val="99"/>
    <w:unhideWhenUsed/>
    <w:rsid w:val="00346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786"/>
  </w:style>
  <w:style w:type="character" w:customStyle="1" w:styleId="Heading3Char">
    <w:name w:val="Heading 3 Char"/>
    <w:basedOn w:val="DefaultParagraphFont"/>
    <w:link w:val="Heading3"/>
    <w:uiPriority w:val="9"/>
    <w:rsid w:val="00605446"/>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336259"/>
    <w:pPr>
      <w:spacing w:after="200" w:line="240" w:lineRule="auto"/>
    </w:pPr>
    <w:rPr>
      <w:i/>
      <w:iCs/>
      <w:color w:val="44546A" w:themeColor="text2"/>
      <w:sz w:val="18"/>
      <w:szCs w:val="18"/>
    </w:rPr>
  </w:style>
  <w:style w:type="table" w:styleId="TableGrid">
    <w:name w:val="Table Grid"/>
    <w:basedOn w:val="TableNormal"/>
    <w:uiPriority w:val="39"/>
    <w:rsid w:val="00C41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1E13"/>
    <w:rPr>
      <w:color w:val="605E5C"/>
      <w:shd w:val="clear" w:color="auto" w:fill="E1DFDD"/>
    </w:rPr>
  </w:style>
  <w:style w:type="paragraph" w:styleId="NoSpacing">
    <w:name w:val="No Spacing"/>
    <w:uiPriority w:val="1"/>
    <w:qFormat/>
    <w:rsid w:val="00975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1363">
      <w:bodyDiv w:val="1"/>
      <w:marLeft w:val="0"/>
      <w:marRight w:val="0"/>
      <w:marTop w:val="0"/>
      <w:marBottom w:val="0"/>
      <w:divBdr>
        <w:top w:val="none" w:sz="0" w:space="0" w:color="auto"/>
        <w:left w:val="none" w:sz="0" w:space="0" w:color="auto"/>
        <w:bottom w:val="none" w:sz="0" w:space="0" w:color="auto"/>
        <w:right w:val="none" w:sz="0" w:space="0" w:color="auto"/>
      </w:divBdr>
    </w:div>
    <w:div w:id="1263339441">
      <w:bodyDiv w:val="1"/>
      <w:marLeft w:val="0"/>
      <w:marRight w:val="0"/>
      <w:marTop w:val="0"/>
      <w:marBottom w:val="0"/>
      <w:divBdr>
        <w:top w:val="none" w:sz="0" w:space="0" w:color="auto"/>
        <w:left w:val="none" w:sz="0" w:space="0" w:color="auto"/>
        <w:bottom w:val="none" w:sz="0" w:space="0" w:color="auto"/>
        <w:right w:val="none" w:sz="0" w:space="0" w:color="auto"/>
      </w:divBdr>
    </w:div>
    <w:div w:id="20562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microsoft.com/office/2014/relationships/chartEx" Target="charts/chartEx1.xml"/><Relationship Id="rId26" Type="http://schemas.openxmlformats.org/officeDocument/2006/relationships/image" Target="cid:image002.png@01D84B2E.4158B12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image" Target="media/image10.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emf"/><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5.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cid:image003.png@01D84B2E.4158B120" TargetMode="External"/><Relationship Id="rId28" Type="http://schemas.openxmlformats.org/officeDocument/2006/relationships/image" Target="media/image12.png"/><Relationship Id="rId10" Type="http://schemas.openxmlformats.org/officeDocument/2006/relationships/image" Target="media/image1.emf"/><Relationship Id="rId19" Type="http://schemas.openxmlformats.org/officeDocument/2006/relationships/image" Target="media/image7.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chart" Target="charts/chart6.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udsope\Downloads\data-education-health-and-care-plans.od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lopolb\Downloads\Analytics%20www.yor-ok.org.uk%20Pages%2020140901-2022051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hudsope\Downloads\data-special-educational-needs-in-england%20(4).ods"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Post 19 Need Types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'Post 19 Diags'!$B$4:$O$4</c:f>
              <c:strCache>
                <c:ptCount val="14"/>
                <c:pt idx="0">
                  <c:v>ASC</c:v>
                </c:pt>
                <c:pt idx="1">
                  <c:v>HI</c:v>
                </c:pt>
                <c:pt idx="2">
                  <c:v>MLD</c:v>
                </c:pt>
                <c:pt idx="3">
                  <c:v>MSI</c:v>
                </c:pt>
                <c:pt idx="4">
                  <c:v>PD</c:v>
                </c:pt>
                <c:pt idx="5">
                  <c:v>PMLD</c:v>
                </c:pt>
                <c:pt idx="6">
                  <c:v>SEMH</c:v>
                </c:pt>
                <c:pt idx="7">
                  <c:v>SEMH (A&amp;D)</c:v>
                </c:pt>
                <c:pt idx="8">
                  <c:v>SEMH (ADHD)</c:v>
                </c:pt>
                <c:pt idx="9">
                  <c:v>SEMH (att)</c:v>
                </c:pt>
                <c:pt idx="10">
                  <c:v>SLCN</c:v>
                </c:pt>
                <c:pt idx="11">
                  <c:v>SLD</c:v>
                </c:pt>
                <c:pt idx="12">
                  <c:v>SpLD</c:v>
                </c:pt>
                <c:pt idx="13">
                  <c:v>VI</c:v>
                </c:pt>
              </c:strCache>
            </c:strRef>
          </c:cat>
          <c:val>
            <c:numRef>
              <c:f>'Post 19 Diags'!$B$5:$O$5</c:f>
              <c:numCache>
                <c:formatCode>General</c:formatCode>
                <c:ptCount val="14"/>
                <c:pt idx="0">
                  <c:v>62</c:v>
                </c:pt>
                <c:pt idx="1">
                  <c:v>4</c:v>
                </c:pt>
                <c:pt idx="2">
                  <c:v>40</c:v>
                </c:pt>
                <c:pt idx="3">
                  <c:v>1</c:v>
                </c:pt>
                <c:pt idx="4">
                  <c:v>8</c:v>
                </c:pt>
                <c:pt idx="5">
                  <c:v>7</c:v>
                </c:pt>
                <c:pt idx="6">
                  <c:v>12</c:v>
                </c:pt>
                <c:pt idx="7">
                  <c:v>3</c:v>
                </c:pt>
                <c:pt idx="8">
                  <c:v>1</c:v>
                </c:pt>
                <c:pt idx="9">
                  <c:v>5</c:v>
                </c:pt>
                <c:pt idx="10">
                  <c:v>9</c:v>
                </c:pt>
                <c:pt idx="11">
                  <c:v>21</c:v>
                </c:pt>
                <c:pt idx="12">
                  <c:v>8</c:v>
                </c:pt>
                <c:pt idx="13">
                  <c:v>1</c:v>
                </c:pt>
              </c:numCache>
            </c:numRef>
          </c:val>
          <c:extLst>
            <c:ext xmlns:c16="http://schemas.microsoft.com/office/drawing/2014/chart" uri="{C3380CC4-5D6E-409C-BE32-E72D297353CC}">
              <c16:uniqueId val="{00000000-6793-424C-95D8-DC8261E99C89}"/>
            </c:ext>
          </c:extLst>
        </c:ser>
        <c:dLbls>
          <c:showLegendKey val="0"/>
          <c:showVal val="0"/>
          <c:showCatName val="0"/>
          <c:showSerName val="0"/>
          <c:showPercent val="0"/>
          <c:showBubbleSize val="0"/>
        </c:dLbls>
        <c:gapWidth val="219"/>
        <c:overlap val="-27"/>
        <c:axId val="1312262191"/>
        <c:axId val="1312262607"/>
      </c:barChart>
      <c:catAx>
        <c:axId val="1312262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2262607"/>
        <c:crosses val="autoZero"/>
        <c:auto val="1"/>
        <c:lblAlgn val="ctr"/>
        <c:lblOffset val="100"/>
        <c:noMultiLvlLbl val="0"/>
      </c:catAx>
      <c:valAx>
        <c:axId val="13122626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22621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EHCP Cohort by Age and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Sheet2!$C$5</c:f>
              <c:strCache>
                <c:ptCount val="1"/>
                <c:pt idx="0">
                  <c:v>Male</c:v>
                </c:pt>
              </c:strCache>
            </c:strRef>
          </c:tx>
          <c:spPr>
            <a:solidFill>
              <a:schemeClr val="accent1"/>
            </a:solidFill>
            <a:ln>
              <a:noFill/>
            </a:ln>
            <a:effectLst/>
          </c:spPr>
          <c:invertIfNegative val="0"/>
          <c:cat>
            <c:strRef>
              <c:f>Sheet2!$D$4:$J$4</c:f>
              <c:strCache>
                <c:ptCount val="7"/>
                <c:pt idx="0">
                  <c:v>Year 14 (18-19)</c:v>
                </c:pt>
                <c:pt idx="1">
                  <c:v>Year 15 (19-20)</c:v>
                </c:pt>
                <c:pt idx="2">
                  <c:v>Year 16 (20-21)</c:v>
                </c:pt>
                <c:pt idx="3">
                  <c:v>Year 17 (21-22)</c:v>
                </c:pt>
                <c:pt idx="4">
                  <c:v>Year 18 (22-23)</c:v>
                </c:pt>
                <c:pt idx="5">
                  <c:v>Year 19 (23-24)</c:v>
                </c:pt>
                <c:pt idx="6">
                  <c:v>Year 20 (24-25)</c:v>
                </c:pt>
              </c:strCache>
            </c:strRef>
          </c:cat>
          <c:val>
            <c:numRef>
              <c:f>Sheet2!$D$5:$J$5</c:f>
              <c:numCache>
                <c:formatCode>General</c:formatCode>
                <c:ptCount val="7"/>
                <c:pt idx="0">
                  <c:v>43</c:v>
                </c:pt>
                <c:pt idx="1">
                  <c:v>30</c:v>
                </c:pt>
                <c:pt idx="2">
                  <c:v>28</c:v>
                </c:pt>
                <c:pt idx="3">
                  <c:v>29</c:v>
                </c:pt>
                <c:pt idx="4">
                  <c:v>12</c:v>
                </c:pt>
                <c:pt idx="5">
                  <c:v>15</c:v>
                </c:pt>
                <c:pt idx="6">
                  <c:v>8</c:v>
                </c:pt>
              </c:numCache>
            </c:numRef>
          </c:val>
          <c:extLst>
            <c:ext xmlns:c16="http://schemas.microsoft.com/office/drawing/2014/chart" uri="{C3380CC4-5D6E-409C-BE32-E72D297353CC}">
              <c16:uniqueId val="{00000000-4409-41A9-9F82-922F7F2FD98A}"/>
            </c:ext>
          </c:extLst>
        </c:ser>
        <c:ser>
          <c:idx val="1"/>
          <c:order val="1"/>
          <c:tx>
            <c:strRef>
              <c:f>Sheet2!$C$6</c:f>
              <c:strCache>
                <c:ptCount val="1"/>
                <c:pt idx="0">
                  <c:v>Female</c:v>
                </c:pt>
              </c:strCache>
            </c:strRef>
          </c:tx>
          <c:spPr>
            <a:solidFill>
              <a:schemeClr val="accent2"/>
            </a:solidFill>
            <a:ln>
              <a:noFill/>
            </a:ln>
            <a:effectLst/>
          </c:spPr>
          <c:invertIfNegative val="0"/>
          <c:cat>
            <c:strRef>
              <c:f>Sheet2!$D$4:$J$4</c:f>
              <c:strCache>
                <c:ptCount val="7"/>
                <c:pt idx="0">
                  <c:v>Year 14 (18-19)</c:v>
                </c:pt>
                <c:pt idx="1">
                  <c:v>Year 15 (19-20)</c:v>
                </c:pt>
                <c:pt idx="2">
                  <c:v>Year 16 (20-21)</c:v>
                </c:pt>
                <c:pt idx="3">
                  <c:v>Year 17 (21-22)</c:v>
                </c:pt>
                <c:pt idx="4">
                  <c:v>Year 18 (22-23)</c:v>
                </c:pt>
                <c:pt idx="5">
                  <c:v>Year 19 (23-24)</c:v>
                </c:pt>
                <c:pt idx="6">
                  <c:v>Year 20 (24-25)</c:v>
                </c:pt>
              </c:strCache>
            </c:strRef>
          </c:cat>
          <c:val>
            <c:numRef>
              <c:f>Sheet2!$D$6:$J$6</c:f>
              <c:numCache>
                <c:formatCode>General</c:formatCode>
                <c:ptCount val="7"/>
                <c:pt idx="0">
                  <c:v>20</c:v>
                </c:pt>
                <c:pt idx="1">
                  <c:v>15</c:v>
                </c:pt>
                <c:pt idx="2">
                  <c:v>18</c:v>
                </c:pt>
                <c:pt idx="3">
                  <c:v>15</c:v>
                </c:pt>
                <c:pt idx="4">
                  <c:v>5</c:v>
                </c:pt>
                <c:pt idx="5">
                  <c:v>10</c:v>
                </c:pt>
                <c:pt idx="6">
                  <c:v>2</c:v>
                </c:pt>
              </c:numCache>
            </c:numRef>
          </c:val>
          <c:extLst>
            <c:ext xmlns:c16="http://schemas.microsoft.com/office/drawing/2014/chart" uri="{C3380CC4-5D6E-409C-BE32-E72D297353CC}">
              <c16:uniqueId val="{00000001-4409-41A9-9F82-922F7F2FD98A}"/>
            </c:ext>
          </c:extLst>
        </c:ser>
        <c:dLbls>
          <c:showLegendKey val="0"/>
          <c:showVal val="0"/>
          <c:showCatName val="0"/>
          <c:showSerName val="0"/>
          <c:showPercent val="0"/>
          <c:showBubbleSize val="0"/>
        </c:dLbls>
        <c:gapWidth val="150"/>
        <c:overlap val="100"/>
        <c:axId val="1689387807"/>
        <c:axId val="1689384479"/>
      </c:barChart>
      <c:catAx>
        <c:axId val="1689387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9384479"/>
        <c:crosses val="autoZero"/>
        <c:auto val="1"/>
        <c:lblAlgn val="ctr"/>
        <c:lblOffset val="100"/>
        <c:noMultiLvlLbl val="0"/>
      </c:catAx>
      <c:valAx>
        <c:axId val="1689384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93878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Proportion of new EHC plans by age 2015-2020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'[data-education-health-and-care-plans.ods]Sheet1'!$H$29</c:f>
              <c:strCache>
                <c:ptCount val="1"/>
                <c:pt idx="0">
                  <c:v>Under 5</c:v>
                </c:pt>
              </c:strCache>
            </c:strRef>
          </c:tx>
          <c:spPr>
            <a:solidFill>
              <a:schemeClr val="accent1"/>
            </a:solidFill>
            <a:ln>
              <a:noFill/>
            </a:ln>
            <a:effectLst/>
          </c:spPr>
          <c:invertIfNegative val="0"/>
          <c:cat>
            <c:strRef>
              <c:f>'[data-education-health-and-care-plans.ods]Sheet1'!$I$27:$N$27</c:f>
              <c:strCache>
                <c:ptCount val="6"/>
                <c:pt idx="0">
                  <c:v>2015</c:v>
                </c:pt>
                <c:pt idx="1">
                  <c:v>2016</c:v>
                </c:pt>
                <c:pt idx="2">
                  <c:v>2017</c:v>
                </c:pt>
                <c:pt idx="3">
                  <c:v>2018</c:v>
                </c:pt>
                <c:pt idx="4">
                  <c:v>2019</c:v>
                </c:pt>
                <c:pt idx="5">
                  <c:v>2020</c:v>
                </c:pt>
              </c:strCache>
            </c:strRef>
          </c:cat>
          <c:val>
            <c:numRef>
              <c:f>'[data-education-health-and-care-plans.ods]Sheet1'!$I$29:$N$29</c:f>
              <c:numCache>
                <c:formatCode>0.00%</c:formatCode>
                <c:ptCount val="6"/>
                <c:pt idx="0">
                  <c:v>4.2000000000000003E-2</c:v>
                </c:pt>
                <c:pt idx="1">
                  <c:v>0.27200000000000002</c:v>
                </c:pt>
                <c:pt idx="2">
                  <c:v>0.221</c:v>
                </c:pt>
                <c:pt idx="3">
                  <c:v>0.16200000000000001</c:v>
                </c:pt>
                <c:pt idx="4">
                  <c:v>0.16</c:v>
                </c:pt>
                <c:pt idx="5">
                  <c:v>0.104</c:v>
                </c:pt>
              </c:numCache>
            </c:numRef>
          </c:val>
          <c:extLst>
            <c:ext xmlns:c16="http://schemas.microsoft.com/office/drawing/2014/chart" uri="{C3380CC4-5D6E-409C-BE32-E72D297353CC}">
              <c16:uniqueId val="{00000000-16DB-41A2-B614-56C11D3F7BBE}"/>
            </c:ext>
          </c:extLst>
        </c:ser>
        <c:ser>
          <c:idx val="1"/>
          <c:order val="1"/>
          <c:tx>
            <c:strRef>
              <c:f>'[data-education-health-and-care-plans.ods]Sheet1'!$H$30</c:f>
              <c:strCache>
                <c:ptCount val="1"/>
                <c:pt idx="0">
                  <c:v>5 to 10</c:v>
                </c:pt>
              </c:strCache>
            </c:strRef>
          </c:tx>
          <c:spPr>
            <a:solidFill>
              <a:schemeClr val="accent2"/>
            </a:solidFill>
            <a:ln>
              <a:noFill/>
            </a:ln>
            <a:effectLst/>
          </c:spPr>
          <c:invertIfNegative val="0"/>
          <c:cat>
            <c:strRef>
              <c:f>'[data-education-health-and-care-plans.ods]Sheet1'!$I$27:$N$27</c:f>
              <c:strCache>
                <c:ptCount val="6"/>
                <c:pt idx="0">
                  <c:v>2015</c:v>
                </c:pt>
                <c:pt idx="1">
                  <c:v>2016</c:v>
                </c:pt>
                <c:pt idx="2">
                  <c:v>2017</c:v>
                </c:pt>
                <c:pt idx="3">
                  <c:v>2018</c:v>
                </c:pt>
                <c:pt idx="4">
                  <c:v>2019</c:v>
                </c:pt>
                <c:pt idx="5">
                  <c:v>2020</c:v>
                </c:pt>
              </c:strCache>
            </c:strRef>
          </c:cat>
          <c:val>
            <c:numRef>
              <c:f>'[data-education-health-and-care-plans.ods]Sheet1'!$I$30:$N$30</c:f>
              <c:numCache>
                <c:formatCode>0.00%</c:formatCode>
                <c:ptCount val="6"/>
                <c:pt idx="0">
                  <c:v>0.58299999999999996</c:v>
                </c:pt>
                <c:pt idx="1">
                  <c:v>0.50600000000000001</c:v>
                </c:pt>
                <c:pt idx="2">
                  <c:v>0.375</c:v>
                </c:pt>
                <c:pt idx="3">
                  <c:v>0.47799999999999998</c:v>
                </c:pt>
                <c:pt idx="4">
                  <c:v>0.433</c:v>
                </c:pt>
                <c:pt idx="5">
                  <c:v>0.5</c:v>
                </c:pt>
              </c:numCache>
            </c:numRef>
          </c:val>
          <c:extLst>
            <c:ext xmlns:c16="http://schemas.microsoft.com/office/drawing/2014/chart" uri="{C3380CC4-5D6E-409C-BE32-E72D297353CC}">
              <c16:uniqueId val="{00000001-16DB-41A2-B614-56C11D3F7BBE}"/>
            </c:ext>
          </c:extLst>
        </c:ser>
        <c:ser>
          <c:idx val="2"/>
          <c:order val="2"/>
          <c:tx>
            <c:strRef>
              <c:f>'[data-education-health-and-care-plans.ods]Sheet1'!$H$31</c:f>
              <c:strCache>
                <c:ptCount val="1"/>
                <c:pt idx="0">
                  <c:v>11 to 15</c:v>
                </c:pt>
              </c:strCache>
            </c:strRef>
          </c:tx>
          <c:spPr>
            <a:solidFill>
              <a:schemeClr val="accent3"/>
            </a:solidFill>
            <a:ln>
              <a:noFill/>
            </a:ln>
            <a:effectLst/>
          </c:spPr>
          <c:invertIfNegative val="0"/>
          <c:val>
            <c:numRef>
              <c:f>'[data-education-health-and-care-plans.ods]Sheet1'!$I$31:$N$31</c:f>
              <c:numCache>
                <c:formatCode>0.00%</c:formatCode>
                <c:ptCount val="6"/>
                <c:pt idx="0">
                  <c:v>0.27800000000000002</c:v>
                </c:pt>
                <c:pt idx="1">
                  <c:v>0.14799999999999999</c:v>
                </c:pt>
                <c:pt idx="2">
                  <c:v>0.221</c:v>
                </c:pt>
                <c:pt idx="3">
                  <c:v>0.28699999999999998</c:v>
                </c:pt>
                <c:pt idx="4">
                  <c:v>0.26700000000000002</c:v>
                </c:pt>
                <c:pt idx="5">
                  <c:v>0.29899999999999999</c:v>
                </c:pt>
              </c:numCache>
            </c:numRef>
          </c:val>
          <c:extLst>
            <c:ext xmlns:c16="http://schemas.microsoft.com/office/drawing/2014/chart" uri="{C3380CC4-5D6E-409C-BE32-E72D297353CC}">
              <c16:uniqueId val="{00000002-16DB-41A2-B614-56C11D3F7BBE}"/>
            </c:ext>
          </c:extLst>
        </c:ser>
        <c:ser>
          <c:idx val="3"/>
          <c:order val="3"/>
          <c:tx>
            <c:strRef>
              <c:f>'[data-education-health-and-care-plans.ods]Sheet1'!$H$32</c:f>
              <c:strCache>
                <c:ptCount val="1"/>
                <c:pt idx="0">
                  <c:v>16 to 19</c:v>
                </c:pt>
              </c:strCache>
            </c:strRef>
          </c:tx>
          <c:spPr>
            <a:solidFill>
              <a:schemeClr val="accent4"/>
            </a:solidFill>
            <a:ln>
              <a:noFill/>
            </a:ln>
            <a:effectLst/>
          </c:spPr>
          <c:invertIfNegative val="0"/>
          <c:val>
            <c:numRef>
              <c:f>'[data-education-health-and-care-plans.ods]Sheet1'!$I$32:$N$32</c:f>
              <c:numCache>
                <c:formatCode>0.00%</c:formatCode>
                <c:ptCount val="6"/>
                <c:pt idx="0">
                  <c:v>4.2000000000000003E-2</c:v>
                </c:pt>
                <c:pt idx="1">
                  <c:v>4.9000000000000002E-2</c:v>
                </c:pt>
                <c:pt idx="2">
                  <c:v>0.115</c:v>
                </c:pt>
                <c:pt idx="3">
                  <c:v>6.6000000000000003E-2</c:v>
                </c:pt>
                <c:pt idx="4">
                  <c:v>0.13300000000000001</c:v>
                </c:pt>
                <c:pt idx="5">
                  <c:v>9.7000000000000003E-2</c:v>
                </c:pt>
              </c:numCache>
            </c:numRef>
          </c:val>
          <c:extLst>
            <c:ext xmlns:c16="http://schemas.microsoft.com/office/drawing/2014/chart" uri="{C3380CC4-5D6E-409C-BE32-E72D297353CC}">
              <c16:uniqueId val="{00000003-16DB-41A2-B614-56C11D3F7BBE}"/>
            </c:ext>
          </c:extLst>
        </c:ser>
        <c:ser>
          <c:idx val="4"/>
          <c:order val="4"/>
          <c:tx>
            <c:strRef>
              <c:f>'[data-education-health-and-care-plans.ods]Sheet1'!$H$33</c:f>
              <c:strCache>
                <c:ptCount val="1"/>
                <c:pt idx="0">
                  <c:v>20 to 25</c:v>
                </c:pt>
              </c:strCache>
            </c:strRef>
          </c:tx>
          <c:spPr>
            <a:solidFill>
              <a:schemeClr val="accent5"/>
            </a:solidFill>
            <a:ln>
              <a:noFill/>
            </a:ln>
            <a:effectLst/>
          </c:spPr>
          <c:invertIfNegative val="0"/>
          <c:val>
            <c:numRef>
              <c:f>'[data-education-health-and-care-plans.ods]Sheet1'!$I$33:$N$33</c:f>
              <c:numCache>
                <c:formatCode>0.00%</c:formatCode>
                <c:ptCount val="6"/>
                <c:pt idx="0">
                  <c:v>5.6000000000000001E-2</c:v>
                </c:pt>
                <c:pt idx="1">
                  <c:v>2.5000000000000001E-2</c:v>
                </c:pt>
                <c:pt idx="2">
                  <c:v>6.7000000000000004E-2</c:v>
                </c:pt>
                <c:pt idx="3">
                  <c:v>7.0000000000000001E-3</c:v>
                </c:pt>
                <c:pt idx="4">
                  <c:v>7.0000000000000001E-3</c:v>
                </c:pt>
                <c:pt idx="5">
                  <c:v>0</c:v>
                </c:pt>
              </c:numCache>
            </c:numRef>
          </c:val>
          <c:extLst>
            <c:ext xmlns:c16="http://schemas.microsoft.com/office/drawing/2014/chart" uri="{C3380CC4-5D6E-409C-BE32-E72D297353CC}">
              <c16:uniqueId val="{00000004-16DB-41A2-B614-56C11D3F7BBE}"/>
            </c:ext>
          </c:extLst>
        </c:ser>
        <c:dLbls>
          <c:showLegendKey val="0"/>
          <c:showVal val="0"/>
          <c:showCatName val="0"/>
          <c:showSerName val="0"/>
          <c:showPercent val="0"/>
          <c:showBubbleSize val="0"/>
        </c:dLbls>
        <c:gapWidth val="150"/>
        <c:overlap val="100"/>
        <c:axId val="1699637023"/>
        <c:axId val="1699639935"/>
      </c:barChart>
      <c:catAx>
        <c:axId val="1699637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9639935"/>
        <c:crosses val="autoZero"/>
        <c:auto val="1"/>
        <c:lblAlgn val="ctr"/>
        <c:lblOffset val="100"/>
        <c:noMultiLvlLbl val="0"/>
      </c:catAx>
      <c:valAx>
        <c:axId val="1699639935"/>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9637023"/>
        <c:crosses val="autoZero"/>
        <c:crossBetween val="between"/>
      </c:valAx>
      <c:spPr>
        <a:noFill/>
        <a:ln>
          <a:noFill/>
        </a:ln>
        <a:effectLst/>
      </c:spPr>
    </c:plotArea>
    <c:legend>
      <c:legendPos val="b"/>
      <c:layout>
        <c:manualLayout>
          <c:xMode val="edge"/>
          <c:yMode val="edge"/>
          <c:x val="0.21873468941382324"/>
          <c:y val="0.88020778652668419"/>
          <c:w val="0.64867782152230968"/>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Local Offer Page views 2014 -</a:t>
            </a:r>
            <a:r>
              <a:rPr lang="en-US" baseline="0"/>
              <a:t> 2022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Dataset2!$B$1</c:f>
              <c:strCache>
                <c:ptCount val="1"/>
                <c:pt idx="0">
                  <c:v>Pageviews</c:v>
                </c:pt>
              </c:strCache>
            </c:strRef>
          </c:tx>
          <c:spPr>
            <a:ln w="28575" cap="rnd">
              <a:solidFill>
                <a:schemeClr val="accent1"/>
              </a:solidFill>
              <a:round/>
            </a:ln>
            <a:effectLst/>
          </c:spPr>
          <c:marker>
            <c:symbol val="none"/>
          </c:marker>
          <c:cat>
            <c:numRef>
              <c:f>Dataset2!$A$2:$A$94</c:f>
              <c:numCache>
                <c:formatCode>mmm\-yy</c:formatCode>
                <c:ptCount val="93"/>
                <c:pt idx="0">
                  <c:v>41883</c:v>
                </c:pt>
                <c:pt idx="1">
                  <c:v>41913</c:v>
                </c:pt>
                <c:pt idx="2">
                  <c:v>41944</c:v>
                </c:pt>
                <c:pt idx="3">
                  <c:v>41974</c:v>
                </c:pt>
                <c:pt idx="4">
                  <c:v>42005</c:v>
                </c:pt>
                <c:pt idx="5">
                  <c:v>42036</c:v>
                </c:pt>
                <c:pt idx="6">
                  <c:v>42064</c:v>
                </c:pt>
                <c:pt idx="7">
                  <c:v>42095</c:v>
                </c:pt>
                <c:pt idx="8">
                  <c:v>42125</c:v>
                </c:pt>
                <c:pt idx="9">
                  <c:v>42156</c:v>
                </c:pt>
                <c:pt idx="10">
                  <c:v>42186</c:v>
                </c:pt>
                <c:pt idx="11">
                  <c:v>42217</c:v>
                </c:pt>
                <c:pt idx="12">
                  <c:v>42248</c:v>
                </c:pt>
                <c:pt idx="13">
                  <c:v>42278</c:v>
                </c:pt>
                <c:pt idx="14">
                  <c:v>42309</c:v>
                </c:pt>
                <c:pt idx="15">
                  <c:v>42339</c:v>
                </c:pt>
                <c:pt idx="16">
                  <c:v>42370</c:v>
                </c:pt>
                <c:pt idx="17">
                  <c:v>42401</c:v>
                </c:pt>
                <c:pt idx="18">
                  <c:v>42430</c:v>
                </c:pt>
                <c:pt idx="19">
                  <c:v>42461</c:v>
                </c:pt>
                <c:pt idx="20">
                  <c:v>42491</c:v>
                </c:pt>
                <c:pt idx="21">
                  <c:v>42522</c:v>
                </c:pt>
                <c:pt idx="22">
                  <c:v>42552</c:v>
                </c:pt>
                <c:pt idx="23">
                  <c:v>42583</c:v>
                </c:pt>
                <c:pt idx="24">
                  <c:v>42614</c:v>
                </c:pt>
                <c:pt idx="25">
                  <c:v>42644</c:v>
                </c:pt>
                <c:pt idx="26">
                  <c:v>42675</c:v>
                </c:pt>
                <c:pt idx="27">
                  <c:v>42705</c:v>
                </c:pt>
                <c:pt idx="28">
                  <c:v>42736</c:v>
                </c:pt>
                <c:pt idx="29">
                  <c:v>42767</c:v>
                </c:pt>
                <c:pt idx="30">
                  <c:v>42795</c:v>
                </c:pt>
                <c:pt idx="31">
                  <c:v>42826</c:v>
                </c:pt>
                <c:pt idx="32">
                  <c:v>42856</c:v>
                </c:pt>
                <c:pt idx="33">
                  <c:v>42887</c:v>
                </c:pt>
                <c:pt idx="34">
                  <c:v>42917</c:v>
                </c:pt>
                <c:pt idx="35">
                  <c:v>42948</c:v>
                </c:pt>
                <c:pt idx="36">
                  <c:v>42979</c:v>
                </c:pt>
                <c:pt idx="37">
                  <c:v>43009</c:v>
                </c:pt>
                <c:pt idx="38">
                  <c:v>43040</c:v>
                </c:pt>
                <c:pt idx="39">
                  <c:v>43070</c:v>
                </c:pt>
                <c:pt idx="40">
                  <c:v>43101</c:v>
                </c:pt>
                <c:pt idx="41">
                  <c:v>43132</c:v>
                </c:pt>
                <c:pt idx="42">
                  <c:v>43160</c:v>
                </c:pt>
                <c:pt idx="43">
                  <c:v>43191</c:v>
                </c:pt>
                <c:pt idx="44">
                  <c:v>43221</c:v>
                </c:pt>
                <c:pt idx="45">
                  <c:v>43252</c:v>
                </c:pt>
                <c:pt idx="46">
                  <c:v>43282</c:v>
                </c:pt>
                <c:pt idx="47">
                  <c:v>43313</c:v>
                </c:pt>
                <c:pt idx="48">
                  <c:v>43344</c:v>
                </c:pt>
                <c:pt idx="49">
                  <c:v>43374</c:v>
                </c:pt>
                <c:pt idx="50">
                  <c:v>43405</c:v>
                </c:pt>
                <c:pt idx="51">
                  <c:v>43435</c:v>
                </c:pt>
                <c:pt idx="52">
                  <c:v>43466</c:v>
                </c:pt>
                <c:pt idx="53">
                  <c:v>43497</c:v>
                </c:pt>
                <c:pt idx="54">
                  <c:v>43525</c:v>
                </c:pt>
                <c:pt idx="55">
                  <c:v>43556</c:v>
                </c:pt>
                <c:pt idx="56">
                  <c:v>43586</c:v>
                </c:pt>
                <c:pt idx="57">
                  <c:v>43617</c:v>
                </c:pt>
                <c:pt idx="58">
                  <c:v>43647</c:v>
                </c:pt>
                <c:pt idx="59">
                  <c:v>43678</c:v>
                </c:pt>
                <c:pt idx="60">
                  <c:v>43709</c:v>
                </c:pt>
                <c:pt idx="61">
                  <c:v>43739</c:v>
                </c:pt>
                <c:pt idx="62">
                  <c:v>43770</c:v>
                </c:pt>
                <c:pt idx="63">
                  <c:v>43800</c:v>
                </c:pt>
                <c:pt idx="64">
                  <c:v>43831</c:v>
                </c:pt>
                <c:pt idx="65">
                  <c:v>43862</c:v>
                </c:pt>
                <c:pt idx="66">
                  <c:v>43891</c:v>
                </c:pt>
                <c:pt idx="67">
                  <c:v>43922</c:v>
                </c:pt>
                <c:pt idx="68">
                  <c:v>43952</c:v>
                </c:pt>
                <c:pt idx="69">
                  <c:v>43983</c:v>
                </c:pt>
                <c:pt idx="70">
                  <c:v>44013</c:v>
                </c:pt>
                <c:pt idx="71">
                  <c:v>44044</c:v>
                </c:pt>
                <c:pt idx="72">
                  <c:v>44075</c:v>
                </c:pt>
                <c:pt idx="73">
                  <c:v>44105</c:v>
                </c:pt>
                <c:pt idx="74">
                  <c:v>44136</c:v>
                </c:pt>
                <c:pt idx="75">
                  <c:v>44166</c:v>
                </c:pt>
                <c:pt idx="76">
                  <c:v>44197</c:v>
                </c:pt>
                <c:pt idx="77">
                  <c:v>44228</c:v>
                </c:pt>
                <c:pt idx="78">
                  <c:v>44256</c:v>
                </c:pt>
                <c:pt idx="79">
                  <c:v>44287</c:v>
                </c:pt>
                <c:pt idx="80">
                  <c:v>44317</c:v>
                </c:pt>
                <c:pt idx="81">
                  <c:v>44348</c:v>
                </c:pt>
                <c:pt idx="82">
                  <c:v>44378</c:v>
                </c:pt>
                <c:pt idx="83">
                  <c:v>44409</c:v>
                </c:pt>
                <c:pt idx="84">
                  <c:v>44440</c:v>
                </c:pt>
                <c:pt idx="85">
                  <c:v>44470</c:v>
                </c:pt>
                <c:pt idx="86">
                  <c:v>44501</c:v>
                </c:pt>
                <c:pt idx="87">
                  <c:v>44531</c:v>
                </c:pt>
                <c:pt idx="88">
                  <c:v>44562</c:v>
                </c:pt>
                <c:pt idx="89">
                  <c:v>44593</c:v>
                </c:pt>
                <c:pt idx="90">
                  <c:v>44621</c:v>
                </c:pt>
                <c:pt idx="91">
                  <c:v>44652</c:v>
                </c:pt>
              </c:numCache>
            </c:numRef>
          </c:cat>
          <c:val>
            <c:numRef>
              <c:f>Dataset2!$B$2:$B$94</c:f>
              <c:numCache>
                <c:formatCode>General</c:formatCode>
                <c:ptCount val="93"/>
                <c:pt idx="0">
                  <c:v>1994</c:v>
                </c:pt>
                <c:pt idx="1">
                  <c:v>1893</c:v>
                </c:pt>
                <c:pt idx="2">
                  <c:v>1407</c:v>
                </c:pt>
                <c:pt idx="3">
                  <c:v>1119</c:v>
                </c:pt>
                <c:pt idx="4">
                  <c:v>1155</c:v>
                </c:pt>
                <c:pt idx="5">
                  <c:v>1482</c:v>
                </c:pt>
                <c:pt idx="6">
                  <c:v>1850</c:v>
                </c:pt>
                <c:pt idx="7">
                  <c:v>1447</c:v>
                </c:pt>
                <c:pt idx="8">
                  <c:v>1508</c:v>
                </c:pt>
                <c:pt idx="9">
                  <c:v>2056</c:v>
                </c:pt>
                <c:pt idx="10">
                  <c:v>1594</c:v>
                </c:pt>
                <c:pt idx="11">
                  <c:v>2716</c:v>
                </c:pt>
                <c:pt idx="12">
                  <c:v>1948</c:v>
                </c:pt>
                <c:pt idx="13">
                  <c:v>1812</c:v>
                </c:pt>
                <c:pt idx="14">
                  <c:v>1706</c:v>
                </c:pt>
                <c:pt idx="15">
                  <c:v>1015</c:v>
                </c:pt>
                <c:pt idx="16">
                  <c:v>1502</c:v>
                </c:pt>
                <c:pt idx="17">
                  <c:v>1624</c:v>
                </c:pt>
                <c:pt idx="18">
                  <c:v>1783</c:v>
                </c:pt>
                <c:pt idx="19">
                  <c:v>1677</c:v>
                </c:pt>
                <c:pt idx="20">
                  <c:v>1630</c:v>
                </c:pt>
                <c:pt idx="21">
                  <c:v>2089</c:v>
                </c:pt>
                <c:pt idx="22">
                  <c:v>1621</c:v>
                </c:pt>
                <c:pt idx="23">
                  <c:v>1113</c:v>
                </c:pt>
                <c:pt idx="24">
                  <c:v>2099</c:v>
                </c:pt>
                <c:pt idx="25">
                  <c:v>2326</c:v>
                </c:pt>
                <c:pt idx="26">
                  <c:v>2637</c:v>
                </c:pt>
                <c:pt idx="27">
                  <c:v>1218</c:v>
                </c:pt>
                <c:pt idx="28">
                  <c:v>2104</c:v>
                </c:pt>
                <c:pt idx="29">
                  <c:v>2155</c:v>
                </c:pt>
                <c:pt idx="30">
                  <c:v>2497</c:v>
                </c:pt>
                <c:pt idx="31">
                  <c:v>1399</c:v>
                </c:pt>
                <c:pt idx="32">
                  <c:v>1851</c:v>
                </c:pt>
                <c:pt idx="33">
                  <c:v>2262</c:v>
                </c:pt>
                <c:pt idx="34">
                  <c:v>2311</c:v>
                </c:pt>
                <c:pt idx="35">
                  <c:v>2153</c:v>
                </c:pt>
                <c:pt idx="36">
                  <c:v>2439</c:v>
                </c:pt>
                <c:pt idx="37">
                  <c:v>2923</c:v>
                </c:pt>
                <c:pt idx="38">
                  <c:v>2658</c:v>
                </c:pt>
                <c:pt idx="39">
                  <c:v>1518</c:v>
                </c:pt>
                <c:pt idx="40">
                  <c:v>2683</c:v>
                </c:pt>
                <c:pt idx="41">
                  <c:v>2818</c:v>
                </c:pt>
                <c:pt idx="42">
                  <c:v>2808</c:v>
                </c:pt>
                <c:pt idx="43">
                  <c:v>2437</c:v>
                </c:pt>
                <c:pt idx="44">
                  <c:v>2658</c:v>
                </c:pt>
                <c:pt idx="45">
                  <c:v>2710</c:v>
                </c:pt>
                <c:pt idx="46">
                  <c:v>2491</c:v>
                </c:pt>
                <c:pt idx="47">
                  <c:v>2310</c:v>
                </c:pt>
                <c:pt idx="48">
                  <c:v>2373</c:v>
                </c:pt>
                <c:pt idx="49">
                  <c:v>2908</c:v>
                </c:pt>
                <c:pt idx="50">
                  <c:v>2727</c:v>
                </c:pt>
                <c:pt idx="51">
                  <c:v>1813</c:v>
                </c:pt>
                <c:pt idx="52">
                  <c:v>2666</c:v>
                </c:pt>
                <c:pt idx="53">
                  <c:v>4169</c:v>
                </c:pt>
                <c:pt idx="54">
                  <c:v>4102</c:v>
                </c:pt>
                <c:pt idx="55">
                  <c:v>3704</c:v>
                </c:pt>
                <c:pt idx="56">
                  <c:v>3651</c:v>
                </c:pt>
                <c:pt idx="57">
                  <c:v>3618</c:v>
                </c:pt>
                <c:pt idx="58">
                  <c:v>4031</c:v>
                </c:pt>
                <c:pt idx="59">
                  <c:v>3798</c:v>
                </c:pt>
                <c:pt idx="60">
                  <c:v>3731</c:v>
                </c:pt>
                <c:pt idx="61">
                  <c:v>5077</c:v>
                </c:pt>
                <c:pt idx="62">
                  <c:v>4940</c:v>
                </c:pt>
                <c:pt idx="63">
                  <c:v>4168</c:v>
                </c:pt>
                <c:pt idx="64">
                  <c:v>4303</c:v>
                </c:pt>
                <c:pt idx="65">
                  <c:v>4005</c:v>
                </c:pt>
                <c:pt idx="66">
                  <c:v>3173</c:v>
                </c:pt>
                <c:pt idx="67">
                  <c:v>2522</c:v>
                </c:pt>
                <c:pt idx="68">
                  <c:v>2965</c:v>
                </c:pt>
                <c:pt idx="69">
                  <c:v>3409</c:v>
                </c:pt>
                <c:pt idx="70">
                  <c:v>3264</c:v>
                </c:pt>
                <c:pt idx="71">
                  <c:v>2178</c:v>
                </c:pt>
                <c:pt idx="72">
                  <c:v>3790</c:v>
                </c:pt>
                <c:pt idx="73">
                  <c:v>3488</c:v>
                </c:pt>
                <c:pt idx="74">
                  <c:v>3359</c:v>
                </c:pt>
                <c:pt idx="75">
                  <c:v>2699</c:v>
                </c:pt>
                <c:pt idx="76">
                  <c:v>3592</c:v>
                </c:pt>
                <c:pt idx="77">
                  <c:v>3595</c:v>
                </c:pt>
                <c:pt idx="78">
                  <c:v>4584</c:v>
                </c:pt>
                <c:pt idx="79">
                  <c:v>4612</c:v>
                </c:pt>
                <c:pt idx="80">
                  <c:v>4762</c:v>
                </c:pt>
                <c:pt idx="81">
                  <c:v>4048</c:v>
                </c:pt>
                <c:pt idx="82">
                  <c:v>4497</c:v>
                </c:pt>
                <c:pt idx="83">
                  <c:v>3066</c:v>
                </c:pt>
                <c:pt idx="84">
                  <c:v>4065</c:v>
                </c:pt>
                <c:pt idx="85">
                  <c:v>4531</c:v>
                </c:pt>
                <c:pt idx="86">
                  <c:v>4046</c:v>
                </c:pt>
                <c:pt idx="87">
                  <c:v>3021</c:v>
                </c:pt>
                <c:pt idx="88">
                  <c:v>4143</c:v>
                </c:pt>
                <c:pt idx="89">
                  <c:v>3685</c:v>
                </c:pt>
                <c:pt idx="90">
                  <c:v>4222</c:v>
                </c:pt>
                <c:pt idx="91">
                  <c:v>3620</c:v>
                </c:pt>
              </c:numCache>
            </c:numRef>
          </c:val>
          <c:smooth val="0"/>
          <c:extLst>
            <c:ext xmlns:c16="http://schemas.microsoft.com/office/drawing/2014/chart" uri="{C3380CC4-5D6E-409C-BE32-E72D297353CC}">
              <c16:uniqueId val="{00000000-E426-426B-B64C-D2619A6725C7}"/>
            </c:ext>
          </c:extLst>
        </c:ser>
        <c:dLbls>
          <c:showLegendKey val="0"/>
          <c:showVal val="0"/>
          <c:showCatName val="0"/>
          <c:showSerName val="0"/>
          <c:showPercent val="0"/>
          <c:showBubbleSize val="0"/>
        </c:dLbls>
        <c:smooth val="0"/>
        <c:axId val="704254360"/>
        <c:axId val="704254688"/>
      </c:lineChart>
      <c:dateAx>
        <c:axId val="70425436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254688"/>
        <c:crosses val="autoZero"/>
        <c:auto val="1"/>
        <c:lblOffset val="100"/>
        <c:baseTimeUnit val="months"/>
        <c:majorUnit val="2"/>
        <c:majorTimeUnit val="months"/>
      </c:dateAx>
      <c:valAx>
        <c:axId val="704254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2543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Looked after Children 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87-4238-8BC3-AC8B5ED8FA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87-4238-8BC3-AC8B5ED8FA5F}"/>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87-4238-8BC3-AC8B5ED8FA5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87-4238-8BC3-AC8B5ED8FA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Sheet1!$D$6:$D$7</c:f>
              <c:strCache>
                <c:ptCount val="2"/>
                <c:pt idx="0">
                  <c:v>No EHCP</c:v>
                </c:pt>
                <c:pt idx="1">
                  <c:v>EHCP</c:v>
                </c:pt>
              </c:strCache>
            </c:strRef>
          </c:cat>
          <c:val>
            <c:numRef>
              <c:f>Sheet1!$E$6:$E$7</c:f>
              <c:numCache>
                <c:formatCode>General</c:formatCode>
                <c:ptCount val="2"/>
                <c:pt idx="0">
                  <c:v>222</c:v>
                </c:pt>
                <c:pt idx="1">
                  <c:v>52</c:v>
                </c:pt>
              </c:numCache>
            </c:numRef>
          </c:val>
          <c:extLst>
            <c:ext xmlns:c16="http://schemas.microsoft.com/office/drawing/2014/chart" uri="{C3380CC4-5D6E-409C-BE32-E72D297353CC}">
              <c16:uniqueId val="{00000004-2387-4238-8BC3-AC8B5ED8FA5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en-GB" sz="1400" b="0" i="0" u="none" strike="noStrike" kern="1200" cap="none" spc="0" baseline="0">
                <a:solidFill>
                  <a:srgbClr val="595959"/>
                </a:solidFill>
                <a:uFillTx/>
                <a:latin typeface="Calibri"/>
              </a:rPr>
              <a:t>Proportion of pupils in all schools with SEN or EHCP</a:t>
            </a:r>
          </a:p>
        </c:rich>
      </c:tx>
      <c:overlay val="0"/>
      <c:spPr>
        <a:noFill/>
        <a:ln>
          <a:noFill/>
        </a:ln>
      </c:spPr>
    </c:title>
    <c:autoTitleDeleted val="0"/>
    <c:plotArea>
      <c:layout>
        <c:manualLayout>
          <c:layoutTarget val="inner"/>
          <c:xMode val="edge"/>
          <c:yMode val="edge"/>
          <c:x val="8.6356242506723691E-2"/>
          <c:y val="0.14967669855989538"/>
          <c:w val="0.88689478629986063"/>
          <c:h val="0.60234637819452619"/>
        </c:manualLayout>
      </c:layout>
      <c:lineChart>
        <c:grouping val="standard"/>
        <c:varyColors val="0"/>
        <c:ser>
          <c:idx val="0"/>
          <c:order val="0"/>
          <c:tx>
            <c:v>York SEN support</c:v>
          </c:tx>
          <c:spPr>
            <a:ln w="28575" cap="rnd">
              <a:solidFill>
                <a:srgbClr val="00B0F0"/>
              </a:solidFill>
              <a:prstDash val="solid"/>
              <a:round/>
            </a:ln>
          </c:spPr>
          <c:marker>
            <c:symbol val="none"/>
          </c:marker>
          <c:trendline>
            <c:trendlineType val="linear"/>
            <c:dispRSqr val="1"/>
            <c:dispEq val="1"/>
            <c:trendlineLbl>
              <c:layout>
                <c:manualLayout>
                  <c:x val="2.4864715984576003E-2"/>
                  <c:y val="8.4752990327807226E-2"/>
                </c:manualLayout>
              </c:layout>
              <c:tx>
                <c:rich>
                  <a:bodyPr/>
                  <a:lstStyle/>
                  <a:p>
                    <a:pPr>
                      <a:defRPr/>
                    </a:pPr>
                    <a:r>
                      <a:rPr lang="en-US" baseline="0"/>
                      <a:t>R² = 0.9131</a:t>
                    </a:r>
                    <a:endParaRPr lang="en-US"/>
                  </a:p>
                </c:rich>
              </c:tx>
              <c:numFmt formatCode="General" sourceLinked="0"/>
            </c:trendlineLbl>
          </c:trendline>
          <c:cat>
            <c:strRef>
              <c:f>Sheet1!$D$3:$I$3</c:f>
              <c:strCache>
                <c:ptCount val="6"/>
                <c:pt idx="0">
                  <c:v>2015/16</c:v>
                </c:pt>
                <c:pt idx="1">
                  <c:v>2016/17</c:v>
                </c:pt>
                <c:pt idx="2">
                  <c:v>2017/18</c:v>
                </c:pt>
                <c:pt idx="3">
                  <c:v>2018/19</c:v>
                </c:pt>
                <c:pt idx="4">
                  <c:v>2019/20</c:v>
                </c:pt>
                <c:pt idx="5">
                  <c:v>2020/21</c:v>
                </c:pt>
              </c:strCache>
            </c:strRef>
          </c:cat>
          <c:val>
            <c:numRef>
              <c:f>Sheet1!$D$4:$I$4</c:f>
              <c:numCache>
                <c:formatCode>General</c:formatCode>
                <c:ptCount val="6"/>
                <c:pt idx="0">
                  <c:v>2.1</c:v>
                </c:pt>
                <c:pt idx="1">
                  <c:v>2.1</c:v>
                </c:pt>
                <c:pt idx="2">
                  <c:v>2.2000000000000002</c:v>
                </c:pt>
                <c:pt idx="3">
                  <c:v>2.4</c:v>
                </c:pt>
                <c:pt idx="4">
                  <c:v>2.6</c:v>
                </c:pt>
                <c:pt idx="5">
                  <c:v>2.9</c:v>
                </c:pt>
              </c:numCache>
            </c:numRef>
          </c:val>
          <c:smooth val="0"/>
          <c:extLst>
            <c:ext xmlns:c16="http://schemas.microsoft.com/office/drawing/2014/chart" uri="{C3380CC4-5D6E-409C-BE32-E72D297353CC}">
              <c16:uniqueId val="{00000001-5317-4E5D-BCC8-1A37E7127C2F}"/>
            </c:ext>
          </c:extLst>
        </c:ser>
        <c:ser>
          <c:idx val="1"/>
          <c:order val="1"/>
          <c:tx>
            <c:v>York EHCP</c:v>
          </c:tx>
          <c:spPr>
            <a:ln w="28575" cap="rnd">
              <a:solidFill>
                <a:srgbClr val="00B0F0"/>
              </a:solidFill>
              <a:custDash>
                <a:ds d="400000" sp="200000"/>
              </a:custDash>
              <a:round/>
            </a:ln>
          </c:spPr>
          <c:marker>
            <c:symbol val="none"/>
          </c:marker>
          <c:trendline>
            <c:trendlineType val="linear"/>
            <c:dispRSqr val="1"/>
            <c:dispEq val="1"/>
            <c:trendlineLbl>
              <c:layout>
                <c:manualLayout>
                  <c:x val="1.8547681539807525E-2"/>
                  <c:y val="9.3668286907507101E-2"/>
                </c:manualLayout>
              </c:layout>
              <c:tx>
                <c:rich>
                  <a:bodyPr/>
                  <a:lstStyle/>
                  <a:p>
                    <a:pPr>
                      <a:defRPr/>
                    </a:pPr>
                    <a:r>
                      <a:rPr lang="en-US" baseline="0"/>
                      <a:t>R² = 0.102</a:t>
                    </a:r>
                    <a:endParaRPr lang="en-US"/>
                  </a:p>
                </c:rich>
              </c:tx>
              <c:numFmt formatCode="General" sourceLinked="0"/>
            </c:trendlineLbl>
          </c:trendline>
          <c:cat>
            <c:strRef>
              <c:f>Sheet1!$D$3:$I$3</c:f>
              <c:strCache>
                <c:ptCount val="6"/>
                <c:pt idx="0">
                  <c:v>2015/16</c:v>
                </c:pt>
                <c:pt idx="1">
                  <c:v>2016/17</c:v>
                </c:pt>
                <c:pt idx="2">
                  <c:v>2017/18</c:v>
                </c:pt>
                <c:pt idx="3">
                  <c:v>2018/19</c:v>
                </c:pt>
                <c:pt idx="4">
                  <c:v>2019/20</c:v>
                </c:pt>
                <c:pt idx="5">
                  <c:v>2020/21</c:v>
                </c:pt>
              </c:strCache>
            </c:strRef>
          </c:cat>
          <c:val>
            <c:numRef>
              <c:f>Sheet1!$D$5:$I$5</c:f>
              <c:numCache>
                <c:formatCode>General</c:formatCode>
                <c:ptCount val="6"/>
                <c:pt idx="0">
                  <c:v>9.3000000000000007</c:v>
                </c:pt>
                <c:pt idx="1">
                  <c:v>9.3000000000000007</c:v>
                </c:pt>
                <c:pt idx="2">
                  <c:v>9.9</c:v>
                </c:pt>
                <c:pt idx="3">
                  <c:v>9.6999999999999993</c:v>
                </c:pt>
                <c:pt idx="4">
                  <c:v>9.6999999999999993</c:v>
                </c:pt>
                <c:pt idx="5">
                  <c:v>9.4</c:v>
                </c:pt>
              </c:numCache>
            </c:numRef>
          </c:val>
          <c:smooth val="0"/>
          <c:extLst>
            <c:ext xmlns:c16="http://schemas.microsoft.com/office/drawing/2014/chart" uri="{C3380CC4-5D6E-409C-BE32-E72D297353CC}">
              <c16:uniqueId val="{00000003-5317-4E5D-BCC8-1A37E7127C2F}"/>
            </c:ext>
          </c:extLst>
        </c:ser>
        <c:ser>
          <c:idx val="2"/>
          <c:order val="2"/>
          <c:tx>
            <c:v>England SEN Support</c:v>
          </c:tx>
          <c:spPr>
            <a:ln w="28575" cap="rnd">
              <a:solidFill>
                <a:srgbClr val="A5A5A5"/>
              </a:solidFill>
              <a:prstDash val="solid"/>
              <a:round/>
            </a:ln>
          </c:spPr>
          <c:marker>
            <c:symbol val="none"/>
          </c:marker>
          <c:cat>
            <c:strRef>
              <c:f>Sheet1!$D$3:$I$3</c:f>
              <c:strCache>
                <c:ptCount val="6"/>
                <c:pt idx="0">
                  <c:v>2015/16</c:v>
                </c:pt>
                <c:pt idx="1">
                  <c:v>2016/17</c:v>
                </c:pt>
                <c:pt idx="2">
                  <c:v>2017/18</c:v>
                </c:pt>
                <c:pt idx="3">
                  <c:v>2018/19</c:v>
                </c:pt>
                <c:pt idx="4">
                  <c:v>2019/20</c:v>
                </c:pt>
                <c:pt idx="5">
                  <c:v>2020/21</c:v>
                </c:pt>
              </c:strCache>
            </c:strRef>
          </c:cat>
          <c:val>
            <c:numRef>
              <c:f>Sheet1!$D$6:$I$6</c:f>
              <c:numCache>
                <c:formatCode>General</c:formatCode>
                <c:ptCount val="6"/>
                <c:pt idx="0">
                  <c:v>2.8</c:v>
                </c:pt>
                <c:pt idx="1">
                  <c:v>2.8</c:v>
                </c:pt>
                <c:pt idx="2">
                  <c:v>2.9</c:v>
                </c:pt>
                <c:pt idx="3">
                  <c:v>3.1</c:v>
                </c:pt>
                <c:pt idx="4">
                  <c:v>3.3</c:v>
                </c:pt>
                <c:pt idx="5">
                  <c:v>3.7</c:v>
                </c:pt>
              </c:numCache>
            </c:numRef>
          </c:val>
          <c:smooth val="0"/>
          <c:extLst>
            <c:ext xmlns:c16="http://schemas.microsoft.com/office/drawing/2014/chart" uri="{C3380CC4-5D6E-409C-BE32-E72D297353CC}">
              <c16:uniqueId val="{00000004-5317-4E5D-BCC8-1A37E7127C2F}"/>
            </c:ext>
          </c:extLst>
        </c:ser>
        <c:ser>
          <c:idx val="3"/>
          <c:order val="3"/>
          <c:tx>
            <c:v>England EHCP</c:v>
          </c:tx>
          <c:spPr>
            <a:ln w="28575" cap="rnd">
              <a:solidFill>
                <a:srgbClr val="A6A6A6"/>
              </a:solidFill>
              <a:custDash>
                <a:ds d="400000" sp="200000"/>
              </a:custDash>
              <a:round/>
            </a:ln>
          </c:spPr>
          <c:marker>
            <c:symbol val="none"/>
          </c:marker>
          <c:cat>
            <c:strRef>
              <c:f>Sheet1!$D$3:$I$3</c:f>
              <c:strCache>
                <c:ptCount val="6"/>
                <c:pt idx="0">
                  <c:v>2015/16</c:v>
                </c:pt>
                <c:pt idx="1">
                  <c:v>2016/17</c:v>
                </c:pt>
                <c:pt idx="2">
                  <c:v>2017/18</c:v>
                </c:pt>
                <c:pt idx="3">
                  <c:v>2018/19</c:v>
                </c:pt>
                <c:pt idx="4">
                  <c:v>2019/20</c:v>
                </c:pt>
                <c:pt idx="5">
                  <c:v>2020/21</c:v>
                </c:pt>
              </c:strCache>
            </c:strRef>
          </c:cat>
          <c:val>
            <c:numRef>
              <c:f>Sheet1!$D$7:$I$7</c:f>
              <c:numCache>
                <c:formatCode>General</c:formatCode>
                <c:ptCount val="6"/>
                <c:pt idx="0">
                  <c:v>11.6</c:v>
                </c:pt>
                <c:pt idx="1">
                  <c:v>11.6</c:v>
                </c:pt>
                <c:pt idx="2">
                  <c:v>11.7</c:v>
                </c:pt>
                <c:pt idx="3">
                  <c:v>11.9</c:v>
                </c:pt>
                <c:pt idx="4">
                  <c:v>12.1</c:v>
                </c:pt>
                <c:pt idx="5">
                  <c:v>12.2</c:v>
                </c:pt>
              </c:numCache>
            </c:numRef>
          </c:val>
          <c:smooth val="0"/>
          <c:extLst>
            <c:ext xmlns:c16="http://schemas.microsoft.com/office/drawing/2014/chart" uri="{C3380CC4-5D6E-409C-BE32-E72D297353CC}">
              <c16:uniqueId val="{00000005-5317-4E5D-BCC8-1A37E7127C2F}"/>
            </c:ext>
          </c:extLst>
        </c:ser>
        <c:dLbls>
          <c:showLegendKey val="0"/>
          <c:showVal val="0"/>
          <c:showCatName val="0"/>
          <c:showSerName val="0"/>
          <c:showPercent val="0"/>
          <c:showBubbleSize val="0"/>
        </c:dLbls>
        <c:smooth val="0"/>
        <c:axId val="571641696"/>
        <c:axId val="571639728"/>
      </c:lineChart>
      <c:valAx>
        <c:axId val="571639728"/>
        <c:scaling>
          <c:orientation val="minMax"/>
        </c:scaling>
        <c:delete val="0"/>
        <c:axPos val="l"/>
        <c:majorGridlines>
          <c:spPr>
            <a:ln w="9528" cap="flat">
              <a:solidFill>
                <a:srgbClr val="D9D9D9"/>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595959"/>
                    </a:solidFill>
                    <a:latin typeface="Calibri"/>
                  </a:defRPr>
                </a:pPr>
                <a:r>
                  <a:rPr lang="en-GB" sz="1000" b="0" i="0" u="none" strike="noStrike" kern="1200" cap="none" spc="0" baseline="0">
                    <a:solidFill>
                      <a:srgbClr val="595959"/>
                    </a:solidFill>
                    <a:uFillTx/>
                    <a:latin typeface="Calibri"/>
                  </a:rPr>
                  <a:t>Percentage</a:t>
                </a:r>
              </a:p>
            </c:rich>
          </c:tx>
          <c:overlay val="0"/>
          <c:spPr>
            <a:noFill/>
            <a:ln>
              <a:noFill/>
            </a:ln>
          </c:spPr>
        </c:title>
        <c:numFmt formatCode="General" sourceLinked="1"/>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crossAx val="571641696"/>
        <c:crosses val="autoZero"/>
        <c:crossBetween val="between"/>
      </c:valAx>
      <c:catAx>
        <c:axId val="571641696"/>
        <c:scaling>
          <c:orientation val="minMax"/>
        </c:scaling>
        <c:delete val="0"/>
        <c:axPos val="b"/>
        <c:numFmt formatCode="General" sourceLinked="1"/>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crossAx val="571639728"/>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en-US"/>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en-US"/>
    </a:p>
  </c:txPr>
  <c:externalData r:id="rId1">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Sheet1!$A$1:$A$10</cx:f>
        <cx:lvl ptCount="10">
          <cx:pt idx="0">Local Offer homepage</cx:pt>
          <cx:pt idx="1">Max Cards</cx:pt>
          <cx:pt idx="2">My Support Plan</cx:pt>
          <cx:pt idx="3">Autism</cx:pt>
          <cx:pt idx="4">My FIS Plus (Newsletter sign up)</cx:pt>
          <cx:pt idx="5">Short Breaks</cx:pt>
          <cx:pt idx="6">SENDIASS</cx:pt>
          <cx:pt idx="7">EHCP</cx:pt>
          <cx:pt idx="8">Post 16 Options</cx:pt>
          <cx:pt idx="9">Benefits</cx:pt>
        </cx:lvl>
      </cx:strDim>
      <cx:numDim type="size">
        <cx:f>Sheet1!$B$1:$B$10</cx:f>
        <cx:lvl ptCount="10" formatCode="General">
          <cx:pt idx="0">8026</cx:pt>
          <cx:pt idx="1">4734</cx:pt>
          <cx:pt idx="2">1635</cx:pt>
          <cx:pt idx="3">1567</cx:pt>
          <cx:pt idx="4">1338</cx:pt>
          <cx:pt idx="5">1243</cx:pt>
          <cx:pt idx="6">1193</cx:pt>
          <cx:pt idx="7">1072</cx:pt>
          <cx:pt idx="8">997</cx:pt>
          <cx:pt idx="9">929</cx:pt>
        </cx:lvl>
      </cx:numDim>
    </cx:data>
  </cx:chartData>
  <cx:chart>
    <cx:title pos="t" align="ctr" overlay="0">
      <cx:tx>
        <cx:txData>
          <cx:v>Top 10 Local Offer Pages 2021-2022</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Top 10 Local Offer Pages 2021-2022</a:t>
          </a:r>
        </a:p>
      </cx:txPr>
    </cx:title>
    <cx:plotArea>
      <cx:plotAreaRegion>
        <cx:series layoutId="treemap" uniqueId="{56A48870-3B41-4BCE-B400-0547A87F3697}">
          <cx:dataLabels pos="inEnd">
            <cx:visibility seriesName="0" categoryName="1" value="0"/>
          </cx:dataLabels>
          <cx:dataId val="0"/>
          <cx:layoutPr>
            <cx:parentLabelLayout val="overlapping"/>
          </cx:layoutPr>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A8CB9-D52E-4EC7-81F9-55F0BF86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4410</TotalTime>
  <Pages>16</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Jennifer</dc:creator>
  <cp:keywords/>
  <dc:description/>
  <cp:lastModifiedBy>Hudson, Peter</cp:lastModifiedBy>
  <cp:revision>29</cp:revision>
  <dcterms:created xsi:type="dcterms:W3CDTF">2022-03-24T15:00:00Z</dcterms:created>
  <dcterms:modified xsi:type="dcterms:W3CDTF">2022-08-30T14:13:00Z</dcterms:modified>
</cp:coreProperties>
</file>